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A1" w:rsidRDefault="00337662" w:rsidP="000E2015">
      <w:pPr>
        <w:rPr>
          <w:spacing w:val="-2"/>
        </w:rPr>
      </w:pPr>
      <w:r>
        <w:rPr>
          <w:noProof/>
        </w:rPr>
        <w:drawing>
          <wp:anchor distT="0" distB="0" distL="114300" distR="114300" simplePos="0" relativeHeight="251657728" behindDoc="1" locked="0" layoutInCell="1" allowOverlap="1">
            <wp:simplePos x="0" y="0"/>
            <wp:positionH relativeFrom="column">
              <wp:posOffset>2480945</wp:posOffset>
            </wp:positionH>
            <wp:positionV relativeFrom="paragraph">
              <wp:posOffset>-319709</wp:posOffset>
            </wp:positionV>
            <wp:extent cx="1754505" cy="448310"/>
            <wp:effectExtent l="0" t="0" r="0" b="8890"/>
            <wp:wrapNone/>
            <wp:docPr id="5" name="Picture 5" descr="apple - gr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le - gray2"/>
                    <pic:cNvPicPr>
                      <a:picLocks noChangeAspect="1" noChangeArrowheads="1"/>
                    </pic:cNvPicPr>
                  </pic:nvPicPr>
                  <pic:blipFill>
                    <a:blip r:embed="rId9" cstate="print"/>
                    <a:srcRect/>
                    <a:stretch>
                      <a:fillRect/>
                    </a:stretch>
                  </pic:blipFill>
                  <pic:spPr bwMode="auto">
                    <a:xfrm>
                      <a:off x="0" y="0"/>
                      <a:ext cx="1754505" cy="448310"/>
                    </a:xfrm>
                    <a:prstGeom prst="rect">
                      <a:avLst/>
                    </a:prstGeom>
                    <a:noFill/>
                  </pic:spPr>
                </pic:pic>
              </a:graphicData>
            </a:graphic>
          </wp:anchor>
        </w:drawing>
      </w:r>
      <w:r w:rsidR="00A032D1">
        <w:rPr>
          <w:spacing w:val="-2"/>
        </w:rPr>
        <w:tab/>
      </w:r>
    </w:p>
    <w:p w:rsidR="00A032D1" w:rsidRPr="00A032D1" w:rsidRDefault="00A032D1" w:rsidP="00A032D1">
      <w:pPr>
        <w:jc w:val="center"/>
        <w:rPr>
          <w:rFonts w:ascii="Cambria" w:hAnsi="Cambria"/>
          <w:b/>
          <w:i/>
          <w:sz w:val="16"/>
          <w:szCs w:val="16"/>
        </w:rPr>
      </w:pPr>
      <w:r w:rsidRPr="00A032D1">
        <w:rPr>
          <w:rFonts w:ascii="Cambria" w:hAnsi="Cambria"/>
          <w:b/>
          <w:i/>
          <w:sz w:val="16"/>
          <w:szCs w:val="16"/>
        </w:rPr>
        <w:t>Water Resource Advisors for the West</w:t>
      </w:r>
    </w:p>
    <w:p w:rsidR="001E271C" w:rsidRDefault="001E271C" w:rsidP="000E2015">
      <w:pPr>
        <w:rPr>
          <w:b/>
          <w:i/>
          <w:sz w:val="21"/>
          <w:szCs w:val="21"/>
        </w:rPr>
      </w:pPr>
    </w:p>
    <w:p w:rsidR="001E271C" w:rsidRPr="00CF1243" w:rsidRDefault="001E271C" w:rsidP="000E2015">
      <w:pPr>
        <w:rPr>
          <w:b/>
          <w:i/>
          <w:sz w:val="21"/>
          <w:szCs w:val="21"/>
        </w:rPr>
      </w:pPr>
    </w:p>
    <w:p w:rsidR="001934A1" w:rsidRPr="00A032D1" w:rsidRDefault="00F6741D" w:rsidP="00A032D1">
      <w:pPr>
        <w:tabs>
          <w:tab w:val="left" w:pos="0"/>
        </w:tabs>
        <w:spacing w:before="120" w:after="240"/>
        <w:jc w:val="center"/>
        <w:rPr>
          <w:rFonts w:ascii="Cambria" w:hAnsi="Cambria"/>
          <w:b/>
          <w:i/>
          <w:sz w:val="40"/>
        </w:rPr>
      </w:pPr>
      <w:r>
        <w:rPr>
          <w:rFonts w:ascii="Cambria" w:hAnsi="Cambria"/>
          <w:b/>
          <w:i/>
          <w:sz w:val="40"/>
        </w:rPr>
        <w:t>Memorandum</w:t>
      </w:r>
    </w:p>
    <w:tbl>
      <w:tblPr>
        <w:tblW w:w="0" w:type="auto"/>
        <w:tblLayout w:type="fixed"/>
        <w:tblLook w:val="0000" w:firstRow="0" w:lastRow="0" w:firstColumn="0" w:lastColumn="0" w:noHBand="0" w:noVBand="0"/>
      </w:tblPr>
      <w:tblGrid>
        <w:gridCol w:w="1098"/>
        <w:gridCol w:w="6570"/>
        <w:gridCol w:w="3060"/>
      </w:tblGrid>
      <w:tr w:rsidR="001934A1" w:rsidTr="004548DF">
        <w:tc>
          <w:tcPr>
            <w:tcW w:w="1098" w:type="dxa"/>
            <w:tcBorders>
              <w:top w:val="single" w:sz="24" w:space="0" w:color="auto"/>
            </w:tcBorders>
          </w:tcPr>
          <w:p w:rsidR="001934A1" w:rsidRPr="00A032D1" w:rsidRDefault="001934A1">
            <w:pPr>
              <w:spacing w:before="120"/>
              <w:rPr>
                <w:rFonts w:ascii="Cambria" w:hAnsi="Cambria"/>
              </w:rPr>
            </w:pPr>
            <w:r w:rsidRPr="00A032D1">
              <w:rPr>
                <w:rFonts w:ascii="Cambria" w:hAnsi="Cambria"/>
              </w:rPr>
              <w:t>Date:</w:t>
            </w:r>
          </w:p>
        </w:tc>
        <w:tc>
          <w:tcPr>
            <w:tcW w:w="6570" w:type="dxa"/>
            <w:tcBorders>
              <w:top w:val="single" w:sz="24" w:space="0" w:color="auto"/>
            </w:tcBorders>
          </w:tcPr>
          <w:p w:rsidR="001934A1" w:rsidRPr="00D964F6" w:rsidRDefault="001C2FBB" w:rsidP="001B1639">
            <w:pPr>
              <w:spacing w:before="120"/>
              <w:rPr>
                <w:rFonts w:ascii="Cambria" w:hAnsi="Cambria"/>
                <w:sz w:val="22"/>
                <w:szCs w:val="22"/>
              </w:rPr>
            </w:pPr>
            <w:r>
              <w:rPr>
                <w:rFonts w:ascii="Cambria" w:hAnsi="Cambria"/>
                <w:sz w:val="22"/>
                <w:szCs w:val="22"/>
              </w:rPr>
              <w:t xml:space="preserve">April </w:t>
            </w:r>
            <w:r w:rsidR="0007516F">
              <w:rPr>
                <w:rFonts w:ascii="Cambria" w:hAnsi="Cambria"/>
                <w:sz w:val="22"/>
                <w:szCs w:val="22"/>
              </w:rPr>
              <w:t>24</w:t>
            </w:r>
            <w:r w:rsidR="0005709D">
              <w:rPr>
                <w:rFonts w:ascii="Cambria" w:hAnsi="Cambria"/>
                <w:sz w:val="22"/>
                <w:szCs w:val="22"/>
              </w:rPr>
              <w:t>, 2017</w:t>
            </w:r>
          </w:p>
        </w:tc>
        <w:tc>
          <w:tcPr>
            <w:tcW w:w="3060" w:type="dxa"/>
            <w:tcBorders>
              <w:top w:val="single" w:sz="24" w:space="0" w:color="auto"/>
            </w:tcBorders>
          </w:tcPr>
          <w:p w:rsidR="001934A1" w:rsidRPr="00A032D1" w:rsidRDefault="004548DF" w:rsidP="005575B2">
            <w:pPr>
              <w:spacing w:before="120"/>
              <w:rPr>
                <w:rFonts w:ascii="Cambria" w:hAnsi="Cambria"/>
                <w:sz w:val="22"/>
              </w:rPr>
            </w:pPr>
            <w:r w:rsidRPr="007C4CE6">
              <w:rPr>
                <w:rFonts w:ascii="Cambria" w:hAnsi="Cambria"/>
              </w:rPr>
              <w:t>AG Job No.:</w:t>
            </w:r>
            <w:r w:rsidR="001934A1" w:rsidRPr="00A032D1">
              <w:rPr>
                <w:rFonts w:ascii="Cambria" w:hAnsi="Cambria"/>
                <w:sz w:val="22"/>
              </w:rPr>
              <w:t xml:space="preserve"> </w:t>
            </w:r>
            <w:r w:rsidR="002F76DE">
              <w:rPr>
                <w:rFonts w:ascii="Cambria" w:hAnsi="Cambria"/>
                <w:sz w:val="22"/>
              </w:rPr>
              <w:t xml:space="preserve"> </w:t>
            </w:r>
            <w:r w:rsidR="00D46E2A">
              <w:rPr>
                <w:rFonts w:ascii="Cambria" w:hAnsi="Cambria"/>
                <w:sz w:val="22"/>
              </w:rPr>
              <w:t>10-118</w:t>
            </w:r>
          </w:p>
        </w:tc>
      </w:tr>
      <w:tr w:rsidR="001934A1" w:rsidTr="00DE5C3B">
        <w:trPr>
          <w:cantSplit/>
        </w:trPr>
        <w:tc>
          <w:tcPr>
            <w:tcW w:w="1098" w:type="dxa"/>
          </w:tcPr>
          <w:p w:rsidR="001934A1" w:rsidRPr="00A032D1" w:rsidRDefault="001934A1">
            <w:pPr>
              <w:spacing w:before="120"/>
              <w:rPr>
                <w:rFonts w:ascii="Cambria" w:hAnsi="Cambria"/>
              </w:rPr>
            </w:pPr>
            <w:r w:rsidRPr="00A032D1">
              <w:rPr>
                <w:rFonts w:ascii="Cambria" w:hAnsi="Cambria"/>
              </w:rPr>
              <w:t>To:</w:t>
            </w:r>
          </w:p>
        </w:tc>
        <w:tc>
          <w:tcPr>
            <w:tcW w:w="9630" w:type="dxa"/>
            <w:gridSpan w:val="2"/>
            <w:vAlign w:val="bottom"/>
          </w:tcPr>
          <w:p w:rsidR="00086FB0" w:rsidRPr="00917096" w:rsidRDefault="002E0817" w:rsidP="00DE5C3B">
            <w:pPr>
              <w:rPr>
                <w:rFonts w:asciiTheme="majorHAnsi" w:hAnsiTheme="majorHAnsi"/>
                <w:sz w:val="22"/>
                <w:szCs w:val="22"/>
              </w:rPr>
            </w:pPr>
            <w:r>
              <w:rPr>
                <w:rFonts w:asciiTheme="majorHAnsi" w:hAnsiTheme="majorHAnsi"/>
                <w:sz w:val="22"/>
                <w:szCs w:val="22"/>
              </w:rPr>
              <w:t>Scott Grosscup</w:t>
            </w:r>
          </w:p>
        </w:tc>
      </w:tr>
      <w:tr w:rsidR="001934A1">
        <w:trPr>
          <w:cantSplit/>
        </w:trPr>
        <w:tc>
          <w:tcPr>
            <w:tcW w:w="1098" w:type="dxa"/>
          </w:tcPr>
          <w:p w:rsidR="001934A1" w:rsidRPr="00A032D1" w:rsidRDefault="001934A1" w:rsidP="00826F14">
            <w:pPr>
              <w:spacing w:before="240"/>
              <w:rPr>
                <w:rFonts w:ascii="Cambria" w:hAnsi="Cambria"/>
              </w:rPr>
            </w:pPr>
            <w:r w:rsidRPr="00A032D1">
              <w:rPr>
                <w:rFonts w:ascii="Cambria" w:hAnsi="Cambria"/>
              </w:rPr>
              <w:t>From:</w:t>
            </w:r>
          </w:p>
        </w:tc>
        <w:tc>
          <w:tcPr>
            <w:tcW w:w="9630" w:type="dxa"/>
            <w:gridSpan w:val="2"/>
          </w:tcPr>
          <w:p w:rsidR="001934A1" w:rsidRPr="00826F14" w:rsidRDefault="002E0817" w:rsidP="00826F14">
            <w:pPr>
              <w:spacing w:before="240"/>
              <w:rPr>
                <w:rFonts w:ascii="Cambria" w:hAnsi="Cambria"/>
                <w:sz w:val="22"/>
                <w:szCs w:val="22"/>
              </w:rPr>
            </w:pPr>
            <w:r>
              <w:rPr>
                <w:rFonts w:asciiTheme="majorHAnsi" w:hAnsiTheme="majorHAnsi"/>
                <w:sz w:val="22"/>
                <w:szCs w:val="22"/>
              </w:rPr>
              <w:t xml:space="preserve">Craig Ullmann, P.E.; </w:t>
            </w:r>
            <w:r w:rsidR="00D46E2A">
              <w:rPr>
                <w:rFonts w:ascii="Cambria" w:hAnsi="Cambria"/>
                <w:sz w:val="22"/>
                <w:szCs w:val="22"/>
              </w:rPr>
              <w:t xml:space="preserve">Jared </w:t>
            </w:r>
            <w:proofErr w:type="spellStart"/>
            <w:r w:rsidR="00D46E2A">
              <w:rPr>
                <w:rFonts w:ascii="Cambria" w:hAnsi="Cambria"/>
                <w:sz w:val="22"/>
                <w:szCs w:val="22"/>
              </w:rPr>
              <w:t>Dains</w:t>
            </w:r>
            <w:proofErr w:type="spellEnd"/>
            <w:r w:rsidR="00D46E2A">
              <w:rPr>
                <w:rFonts w:ascii="Cambria" w:hAnsi="Cambria"/>
                <w:sz w:val="22"/>
                <w:szCs w:val="22"/>
              </w:rPr>
              <w:t>, P.E.</w:t>
            </w:r>
          </w:p>
        </w:tc>
      </w:tr>
      <w:tr w:rsidR="001934A1" w:rsidTr="000E2015">
        <w:trPr>
          <w:cantSplit/>
        </w:trPr>
        <w:tc>
          <w:tcPr>
            <w:tcW w:w="1098" w:type="dxa"/>
            <w:tcBorders>
              <w:bottom w:val="single" w:sz="24" w:space="0" w:color="auto"/>
            </w:tcBorders>
          </w:tcPr>
          <w:p w:rsidR="001934A1" w:rsidRPr="00A032D1" w:rsidRDefault="001934A1">
            <w:pPr>
              <w:spacing w:before="120"/>
              <w:rPr>
                <w:rFonts w:ascii="Cambria" w:hAnsi="Cambria"/>
              </w:rPr>
            </w:pPr>
            <w:r w:rsidRPr="00A032D1">
              <w:rPr>
                <w:rFonts w:ascii="Cambria" w:hAnsi="Cambria"/>
              </w:rPr>
              <w:t>Subject:</w:t>
            </w:r>
          </w:p>
        </w:tc>
        <w:tc>
          <w:tcPr>
            <w:tcW w:w="9630" w:type="dxa"/>
            <w:gridSpan w:val="2"/>
            <w:tcBorders>
              <w:bottom w:val="single" w:sz="24" w:space="0" w:color="auto"/>
            </w:tcBorders>
          </w:tcPr>
          <w:p w:rsidR="001934A1" w:rsidRPr="00826F14" w:rsidRDefault="0005709D" w:rsidP="005604C3">
            <w:pPr>
              <w:spacing w:before="120"/>
              <w:rPr>
                <w:rFonts w:ascii="Cambria" w:hAnsi="Cambria"/>
                <w:b/>
                <w:sz w:val="22"/>
                <w:szCs w:val="22"/>
              </w:rPr>
            </w:pPr>
            <w:r>
              <w:rPr>
                <w:rFonts w:ascii="Cambria" w:hAnsi="Cambria"/>
                <w:b/>
                <w:sz w:val="22"/>
                <w:szCs w:val="22"/>
              </w:rPr>
              <w:t xml:space="preserve">Revised </w:t>
            </w:r>
            <w:r w:rsidR="00D46E2A">
              <w:rPr>
                <w:rFonts w:ascii="Cambria" w:hAnsi="Cambria"/>
                <w:b/>
                <w:sz w:val="22"/>
                <w:szCs w:val="22"/>
              </w:rPr>
              <w:t xml:space="preserve">Estimate of </w:t>
            </w:r>
            <w:r w:rsidR="002E0817">
              <w:rPr>
                <w:rFonts w:ascii="Cambria" w:hAnsi="Cambria"/>
                <w:b/>
                <w:sz w:val="22"/>
                <w:szCs w:val="22"/>
              </w:rPr>
              <w:t xml:space="preserve">Well </w:t>
            </w:r>
            <w:r w:rsidR="00D46E2A">
              <w:rPr>
                <w:rFonts w:ascii="Cambria" w:hAnsi="Cambria"/>
                <w:b/>
                <w:sz w:val="22"/>
                <w:szCs w:val="22"/>
              </w:rPr>
              <w:t>Augmentation Need</w:t>
            </w:r>
            <w:r w:rsidR="002E0817">
              <w:rPr>
                <w:rFonts w:ascii="Cambria" w:hAnsi="Cambria"/>
                <w:b/>
                <w:sz w:val="22"/>
                <w:szCs w:val="22"/>
              </w:rPr>
              <w:t>s</w:t>
            </w:r>
            <w:r w:rsidR="00D46E2A">
              <w:rPr>
                <w:rFonts w:ascii="Cambria" w:hAnsi="Cambria"/>
                <w:b/>
                <w:sz w:val="22"/>
                <w:szCs w:val="22"/>
              </w:rPr>
              <w:t xml:space="preserve"> within the Yellow Jacket Water Conservancy District</w:t>
            </w:r>
          </w:p>
        </w:tc>
      </w:tr>
    </w:tbl>
    <w:p w:rsidR="00D01331" w:rsidRDefault="00D01331" w:rsidP="002E0817">
      <w:pPr>
        <w:jc w:val="both"/>
      </w:pPr>
    </w:p>
    <w:p w:rsidR="00D8584C" w:rsidRDefault="0005709D" w:rsidP="002E0817">
      <w:pPr>
        <w:jc w:val="both"/>
        <w:rPr>
          <w:sz w:val="24"/>
          <w:szCs w:val="24"/>
        </w:rPr>
      </w:pPr>
      <w:r>
        <w:rPr>
          <w:sz w:val="24"/>
          <w:szCs w:val="24"/>
        </w:rPr>
        <w:t xml:space="preserve">In a prior memo dated </w:t>
      </w:r>
      <w:r w:rsidR="00985B3B">
        <w:rPr>
          <w:sz w:val="24"/>
          <w:szCs w:val="24"/>
        </w:rPr>
        <w:t xml:space="preserve">September 14, 2016, </w:t>
      </w:r>
      <w:r w:rsidR="002E0817">
        <w:rPr>
          <w:sz w:val="24"/>
          <w:szCs w:val="24"/>
        </w:rPr>
        <w:t>we</w:t>
      </w:r>
      <w:r w:rsidR="00985B3B">
        <w:rPr>
          <w:sz w:val="24"/>
          <w:szCs w:val="24"/>
        </w:rPr>
        <w:t xml:space="preserve"> summarized the results of a </w:t>
      </w:r>
      <w:r w:rsidR="00D46E2A">
        <w:rPr>
          <w:sz w:val="24"/>
          <w:szCs w:val="24"/>
        </w:rPr>
        <w:t xml:space="preserve">study that was conducted to </w:t>
      </w:r>
      <w:r w:rsidR="002E0817">
        <w:rPr>
          <w:sz w:val="24"/>
          <w:szCs w:val="24"/>
        </w:rPr>
        <w:t>estimate</w:t>
      </w:r>
      <w:r w:rsidR="00D46E2A">
        <w:rPr>
          <w:sz w:val="24"/>
          <w:szCs w:val="24"/>
        </w:rPr>
        <w:t xml:space="preserve"> the potential augmentation need that would result from </w:t>
      </w:r>
      <w:r w:rsidR="002E0817">
        <w:rPr>
          <w:sz w:val="24"/>
          <w:szCs w:val="24"/>
        </w:rPr>
        <w:t>a potential future call from the Taylor Draw Power Conduit</w:t>
      </w:r>
      <w:r w:rsidR="00D46E2A">
        <w:rPr>
          <w:sz w:val="24"/>
          <w:szCs w:val="24"/>
        </w:rPr>
        <w:t>.</w:t>
      </w:r>
      <w:r w:rsidR="00985B3B">
        <w:rPr>
          <w:sz w:val="24"/>
          <w:szCs w:val="24"/>
        </w:rPr>
        <w:t xml:space="preserve">  The purpose of this memo is to revise that prior study by assuming the call instead occurred from the White River Instream Flow water right held by the Colorado Water Conservation Board (CWCB).  </w:t>
      </w:r>
      <w:proofErr w:type="gramStart"/>
      <w:r w:rsidR="00985B3B">
        <w:rPr>
          <w:sz w:val="24"/>
          <w:szCs w:val="24"/>
        </w:rPr>
        <w:t>Th</w:t>
      </w:r>
      <w:r w:rsidR="00016DB5">
        <w:rPr>
          <w:sz w:val="24"/>
          <w:szCs w:val="24"/>
        </w:rPr>
        <w:t>e most critical</w:t>
      </w:r>
      <w:r w:rsidR="00985B3B">
        <w:rPr>
          <w:sz w:val="24"/>
          <w:szCs w:val="24"/>
        </w:rPr>
        <w:t xml:space="preserve"> </w:t>
      </w:r>
      <w:r w:rsidR="001F6243">
        <w:rPr>
          <w:sz w:val="24"/>
          <w:szCs w:val="24"/>
        </w:rPr>
        <w:t xml:space="preserve">instream flow </w:t>
      </w:r>
      <w:r w:rsidR="00177DDC">
        <w:rPr>
          <w:sz w:val="24"/>
          <w:szCs w:val="24"/>
        </w:rPr>
        <w:t xml:space="preserve">water </w:t>
      </w:r>
      <w:r w:rsidR="00985B3B">
        <w:rPr>
          <w:sz w:val="24"/>
          <w:szCs w:val="24"/>
        </w:rPr>
        <w:t>r</w:t>
      </w:r>
      <w:r w:rsidR="00177DDC">
        <w:rPr>
          <w:sz w:val="24"/>
          <w:szCs w:val="24"/>
        </w:rPr>
        <w:t>ight</w:t>
      </w:r>
      <w:r w:rsidR="00016DB5">
        <w:rPr>
          <w:sz w:val="24"/>
          <w:szCs w:val="24"/>
        </w:rPr>
        <w:t>, decreed in Case No.</w:t>
      </w:r>
      <w:proofErr w:type="gramEnd"/>
      <w:r w:rsidR="00016DB5">
        <w:rPr>
          <w:sz w:val="24"/>
          <w:szCs w:val="24"/>
        </w:rPr>
        <w:t xml:space="preserve"> W-</w:t>
      </w:r>
      <w:proofErr w:type="gramStart"/>
      <w:r w:rsidR="00016DB5">
        <w:rPr>
          <w:sz w:val="24"/>
          <w:szCs w:val="24"/>
        </w:rPr>
        <w:t>3652C,</w:t>
      </w:r>
      <w:proofErr w:type="gramEnd"/>
      <w:r w:rsidR="00016DB5">
        <w:rPr>
          <w:sz w:val="24"/>
          <w:szCs w:val="24"/>
        </w:rPr>
        <w:t xml:space="preserve"> </w:t>
      </w:r>
      <w:r w:rsidR="00177DDC">
        <w:rPr>
          <w:sz w:val="24"/>
          <w:szCs w:val="24"/>
        </w:rPr>
        <w:t>is for</w:t>
      </w:r>
      <w:r w:rsidR="00016DB5">
        <w:rPr>
          <w:sz w:val="24"/>
          <w:szCs w:val="24"/>
        </w:rPr>
        <w:t xml:space="preserve"> 200</w:t>
      </w:r>
      <w:r w:rsidR="00177DDC">
        <w:rPr>
          <w:sz w:val="24"/>
          <w:szCs w:val="24"/>
        </w:rPr>
        <w:t xml:space="preserve"> </w:t>
      </w:r>
      <w:proofErr w:type="spellStart"/>
      <w:r w:rsidR="00177DDC">
        <w:rPr>
          <w:sz w:val="24"/>
          <w:szCs w:val="24"/>
        </w:rPr>
        <w:t>cfs</w:t>
      </w:r>
      <w:proofErr w:type="spellEnd"/>
      <w:r w:rsidR="00177DDC">
        <w:rPr>
          <w:sz w:val="24"/>
          <w:szCs w:val="24"/>
        </w:rPr>
        <w:t xml:space="preserve"> and</w:t>
      </w:r>
      <w:r w:rsidR="00016DB5">
        <w:rPr>
          <w:sz w:val="24"/>
          <w:szCs w:val="24"/>
        </w:rPr>
        <w:t xml:space="preserve"> encompasses the White River from the confluence of the North Fork and South Fork to the confluence with </w:t>
      </w:r>
      <w:proofErr w:type="spellStart"/>
      <w:r w:rsidR="00016DB5">
        <w:rPr>
          <w:sz w:val="24"/>
          <w:szCs w:val="24"/>
        </w:rPr>
        <w:t>Piceance</w:t>
      </w:r>
      <w:proofErr w:type="spellEnd"/>
      <w:r w:rsidR="00016DB5">
        <w:rPr>
          <w:sz w:val="24"/>
          <w:szCs w:val="24"/>
        </w:rPr>
        <w:t xml:space="preserve"> Creek</w:t>
      </w:r>
      <w:r w:rsidR="00177DDC">
        <w:rPr>
          <w:sz w:val="24"/>
          <w:szCs w:val="24"/>
        </w:rPr>
        <w:t xml:space="preserve">.  </w:t>
      </w:r>
      <w:r w:rsidR="00281DBC">
        <w:rPr>
          <w:sz w:val="24"/>
          <w:szCs w:val="24"/>
        </w:rPr>
        <w:t xml:space="preserve">It has an appropriation date of </w:t>
      </w:r>
      <w:r w:rsidR="00016DB5">
        <w:rPr>
          <w:sz w:val="24"/>
          <w:szCs w:val="24"/>
        </w:rPr>
        <w:t>November 15, 1977 and an adjudication date of December 31, 1977</w:t>
      </w:r>
      <w:r w:rsidR="00281DBC">
        <w:rPr>
          <w:sz w:val="24"/>
          <w:szCs w:val="24"/>
        </w:rPr>
        <w:t>.</w:t>
      </w:r>
    </w:p>
    <w:p w:rsidR="00D95705" w:rsidRDefault="00D95705" w:rsidP="002E0817">
      <w:pPr>
        <w:jc w:val="both"/>
        <w:rPr>
          <w:sz w:val="24"/>
          <w:szCs w:val="24"/>
        </w:rPr>
      </w:pPr>
    </w:p>
    <w:p w:rsidR="00D95705" w:rsidRDefault="00D95705" w:rsidP="002E0817">
      <w:pPr>
        <w:jc w:val="both"/>
        <w:rPr>
          <w:sz w:val="24"/>
          <w:szCs w:val="24"/>
        </w:rPr>
      </w:pPr>
      <w:r>
        <w:rPr>
          <w:sz w:val="24"/>
          <w:szCs w:val="24"/>
        </w:rPr>
        <w:t xml:space="preserve">Pursuant to C.R.S. §37-92-102(3)(b), </w:t>
      </w:r>
      <w:r w:rsidRPr="00D95705">
        <w:rPr>
          <w:sz w:val="24"/>
          <w:szCs w:val="24"/>
        </w:rPr>
        <w:t xml:space="preserve">the CWCB </w:t>
      </w:r>
      <w:r w:rsidR="00281DBC">
        <w:rPr>
          <w:sz w:val="24"/>
          <w:szCs w:val="24"/>
        </w:rPr>
        <w:t xml:space="preserve">instream flow water </w:t>
      </w:r>
      <w:r w:rsidRPr="00D95705">
        <w:rPr>
          <w:sz w:val="24"/>
          <w:szCs w:val="24"/>
        </w:rPr>
        <w:t>rights are subject to the present uses in existence at the time of the</w:t>
      </w:r>
      <w:r w:rsidR="0007516F">
        <w:rPr>
          <w:sz w:val="24"/>
          <w:szCs w:val="24"/>
        </w:rPr>
        <w:t>ir</w:t>
      </w:r>
      <w:r w:rsidRPr="00D95705">
        <w:rPr>
          <w:sz w:val="24"/>
          <w:szCs w:val="24"/>
        </w:rPr>
        <w:t xml:space="preserve"> appropriation, whether or not those uses were previously confirmed by the water court</w:t>
      </w:r>
      <w:r w:rsidR="00281DBC">
        <w:rPr>
          <w:sz w:val="24"/>
          <w:szCs w:val="24"/>
        </w:rPr>
        <w:t xml:space="preserve">.  </w:t>
      </w:r>
      <w:r w:rsidR="00EE3D7E">
        <w:rPr>
          <w:sz w:val="24"/>
          <w:szCs w:val="24"/>
        </w:rPr>
        <w:t xml:space="preserve">For the purposes of this analysis, it was assumed that </w:t>
      </w:r>
      <w:r w:rsidR="00281DBC">
        <w:rPr>
          <w:sz w:val="24"/>
          <w:szCs w:val="24"/>
        </w:rPr>
        <w:t>that any permitted w</w:t>
      </w:r>
      <w:r w:rsidR="00EE3D7E">
        <w:rPr>
          <w:sz w:val="24"/>
          <w:szCs w:val="24"/>
        </w:rPr>
        <w:t>ells which</w:t>
      </w:r>
      <w:r w:rsidR="00281DBC">
        <w:rPr>
          <w:sz w:val="24"/>
          <w:szCs w:val="24"/>
        </w:rPr>
        <w:t xml:space="preserve"> </w:t>
      </w:r>
      <w:r w:rsidR="00EE3D7E">
        <w:rPr>
          <w:sz w:val="24"/>
          <w:szCs w:val="24"/>
        </w:rPr>
        <w:t>had a permit issued</w:t>
      </w:r>
      <w:r w:rsidR="00281DBC">
        <w:rPr>
          <w:sz w:val="24"/>
          <w:szCs w:val="24"/>
        </w:rPr>
        <w:t xml:space="preserve"> prior to </w:t>
      </w:r>
      <w:r w:rsidR="00016DB5">
        <w:rPr>
          <w:sz w:val="24"/>
          <w:szCs w:val="24"/>
        </w:rPr>
        <w:t>1978</w:t>
      </w:r>
      <w:r w:rsidR="00281DBC">
        <w:rPr>
          <w:sz w:val="24"/>
          <w:szCs w:val="24"/>
        </w:rPr>
        <w:t xml:space="preserve"> would not be subject to a call of this water right.  Likewise, </w:t>
      </w:r>
      <w:r w:rsidR="00EE3D7E">
        <w:rPr>
          <w:sz w:val="24"/>
          <w:szCs w:val="24"/>
        </w:rPr>
        <w:t xml:space="preserve">it was assumed that </w:t>
      </w:r>
      <w:r w:rsidR="00281DBC">
        <w:rPr>
          <w:sz w:val="24"/>
          <w:szCs w:val="24"/>
        </w:rPr>
        <w:t xml:space="preserve">any decreed wells with an appropriation date prior to </w:t>
      </w:r>
      <w:r w:rsidR="00016DB5">
        <w:rPr>
          <w:sz w:val="24"/>
          <w:szCs w:val="24"/>
        </w:rPr>
        <w:t xml:space="preserve">1978 </w:t>
      </w:r>
      <w:r w:rsidR="00281DBC">
        <w:rPr>
          <w:sz w:val="24"/>
          <w:szCs w:val="24"/>
        </w:rPr>
        <w:t>would also not be subject to a call of this water right</w:t>
      </w:r>
      <w:r w:rsidR="00EE3D7E">
        <w:rPr>
          <w:sz w:val="24"/>
          <w:szCs w:val="24"/>
        </w:rPr>
        <w:t xml:space="preserve"> (regardless of when the well was actually adjudicated</w:t>
      </w:r>
      <w:r w:rsidR="001F6243">
        <w:rPr>
          <w:sz w:val="24"/>
          <w:szCs w:val="24"/>
        </w:rPr>
        <w:t xml:space="preserve"> prior to 1978</w:t>
      </w:r>
      <w:r w:rsidR="00EE3D7E">
        <w:rPr>
          <w:sz w:val="24"/>
          <w:szCs w:val="24"/>
        </w:rPr>
        <w:t>)</w:t>
      </w:r>
      <w:r w:rsidR="00281DBC">
        <w:rPr>
          <w:sz w:val="24"/>
          <w:szCs w:val="24"/>
        </w:rPr>
        <w:t>.</w:t>
      </w:r>
    </w:p>
    <w:p w:rsidR="00D46E2A" w:rsidRDefault="00D46E2A" w:rsidP="002E0817">
      <w:pPr>
        <w:jc w:val="both"/>
        <w:rPr>
          <w:sz w:val="24"/>
          <w:szCs w:val="24"/>
        </w:rPr>
      </w:pPr>
    </w:p>
    <w:p w:rsidR="002E0817" w:rsidRPr="00691169" w:rsidRDefault="002E0817" w:rsidP="002E0817">
      <w:pPr>
        <w:jc w:val="both"/>
        <w:rPr>
          <w:sz w:val="24"/>
          <w:szCs w:val="24"/>
        </w:rPr>
      </w:pPr>
      <w:r>
        <w:rPr>
          <w:sz w:val="24"/>
          <w:szCs w:val="24"/>
        </w:rPr>
        <w:t>In the case of the Taylor Draw Power Conduit water right call scenario it is reasonable to estimate the augmentation need based on a year-round call because, during the 1977 drought of record, there was insufficient flow in the White River to meet this water right during the entire year. In the case of the instream flow water right call scenario this is not the case. During the 1977 drought of record there were 181 days</w:t>
      </w:r>
      <w:r w:rsidR="0037620D">
        <w:rPr>
          <w:sz w:val="24"/>
          <w:szCs w:val="24"/>
        </w:rPr>
        <w:t>, mostly in the summer months,</w:t>
      </w:r>
      <w:r>
        <w:rPr>
          <w:sz w:val="24"/>
          <w:szCs w:val="24"/>
        </w:rPr>
        <w:t xml:space="preserve"> during which the instream flow water right was not met.</w:t>
      </w:r>
      <w:r>
        <w:rPr>
          <w:rStyle w:val="FootnoteReference"/>
          <w:sz w:val="24"/>
          <w:szCs w:val="24"/>
        </w:rPr>
        <w:footnoteReference w:id="1"/>
      </w:r>
      <w:r>
        <w:rPr>
          <w:sz w:val="24"/>
          <w:szCs w:val="24"/>
        </w:rPr>
        <w:t xml:space="preserve">   The following graph displays the daily streamflow on the White River near Meeker in 1977.  Given this information, it would be reasonable to estimate that the actual augmentation requirement during a severe drought would be </w:t>
      </w:r>
      <w:r w:rsidR="0037620D">
        <w:rPr>
          <w:sz w:val="24"/>
          <w:szCs w:val="24"/>
        </w:rPr>
        <w:t xml:space="preserve">between half and three quarters of </w:t>
      </w:r>
      <w:r>
        <w:rPr>
          <w:sz w:val="24"/>
          <w:szCs w:val="24"/>
        </w:rPr>
        <w:t>the amount estimated for a year-round call.</w:t>
      </w:r>
    </w:p>
    <w:p w:rsidR="002E0817" w:rsidRDefault="002E0817" w:rsidP="002E0817">
      <w:pPr>
        <w:rPr>
          <w:sz w:val="24"/>
          <w:szCs w:val="24"/>
        </w:rPr>
      </w:pPr>
    </w:p>
    <w:p w:rsidR="002E0817" w:rsidRPr="00691169" w:rsidRDefault="002E0817" w:rsidP="002E0817">
      <w:pPr>
        <w:jc w:val="center"/>
        <w:rPr>
          <w:sz w:val="24"/>
          <w:szCs w:val="24"/>
        </w:rPr>
      </w:pPr>
      <w:r>
        <w:rPr>
          <w:noProof/>
        </w:rPr>
        <w:lastRenderedPageBreak/>
        <w:drawing>
          <wp:inline distT="0" distB="0" distL="0" distR="0" wp14:anchorId="031F4108" wp14:editId="610E90CB">
            <wp:extent cx="6607534" cy="3434963"/>
            <wp:effectExtent l="0" t="0" r="22225"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0817" w:rsidRDefault="002E0817" w:rsidP="00D01331">
      <w:pPr>
        <w:rPr>
          <w:sz w:val="24"/>
          <w:szCs w:val="24"/>
        </w:rPr>
      </w:pPr>
    </w:p>
    <w:p w:rsidR="00D46E2A" w:rsidRDefault="00D46E2A" w:rsidP="00D01331">
      <w:pPr>
        <w:rPr>
          <w:b/>
          <w:sz w:val="24"/>
          <w:szCs w:val="24"/>
        </w:rPr>
      </w:pPr>
      <w:r>
        <w:rPr>
          <w:b/>
          <w:sz w:val="24"/>
          <w:szCs w:val="24"/>
        </w:rPr>
        <w:t>Well Identification</w:t>
      </w:r>
    </w:p>
    <w:p w:rsidR="00311A1B" w:rsidRDefault="00C26757" w:rsidP="00C26757">
      <w:pPr>
        <w:jc w:val="both"/>
        <w:rPr>
          <w:sz w:val="24"/>
          <w:szCs w:val="24"/>
        </w:rPr>
      </w:pPr>
      <w:r>
        <w:rPr>
          <w:sz w:val="24"/>
          <w:szCs w:val="24"/>
        </w:rPr>
        <w:t>Impacted wells were identified using the same methodology as the previous analysis for the Taylor Draw water right.</w:t>
      </w:r>
      <w:r w:rsidR="000F1383">
        <w:rPr>
          <w:sz w:val="24"/>
          <w:szCs w:val="24"/>
        </w:rPr>
        <w:t xml:space="preserve">  A total of </w:t>
      </w:r>
      <w:r w:rsidR="000F2FD5">
        <w:rPr>
          <w:sz w:val="24"/>
          <w:szCs w:val="24"/>
        </w:rPr>
        <w:t>50</w:t>
      </w:r>
      <w:r w:rsidR="000F1383">
        <w:rPr>
          <w:sz w:val="24"/>
          <w:szCs w:val="24"/>
        </w:rPr>
        <w:t xml:space="preserve"> </w:t>
      </w:r>
      <w:r w:rsidR="00BA7BE1">
        <w:rPr>
          <w:sz w:val="24"/>
          <w:szCs w:val="24"/>
        </w:rPr>
        <w:t xml:space="preserve">permitted </w:t>
      </w:r>
      <w:r>
        <w:rPr>
          <w:sz w:val="24"/>
          <w:szCs w:val="24"/>
        </w:rPr>
        <w:t xml:space="preserve">and 115 decreed </w:t>
      </w:r>
      <w:r w:rsidR="000F1383">
        <w:rPr>
          <w:sz w:val="24"/>
          <w:szCs w:val="24"/>
        </w:rPr>
        <w:t>well</w:t>
      </w:r>
      <w:r w:rsidR="00BA7BE1">
        <w:rPr>
          <w:sz w:val="24"/>
          <w:szCs w:val="24"/>
        </w:rPr>
        <w:t>s</w:t>
      </w:r>
      <w:r w:rsidR="000F1383">
        <w:rPr>
          <w:sz w:val="24"/>
          <w:szCs w:val="24"/>
        </w:rPr>
        <w:t xml:space="preserve"> were thus identified.</w:t>
      </w:r>
      <w:r>
        <w:rPr>
          <w:sz w:val="24"/>
          <w:szCs w:val="24"/>
        </w:rPr>
        <w:t xml:space="preserve"> </w:t>
      </w:r>
      <w:r w:rsidR="00311A1B">
        <w:rPr>
          <w:sz w:val="24"/>
          <w:szCs w:val="24"/>
        </w:rPr>
        <w:t>A map showing the identified decreed and permitted wells is attached.</w:t>
      </w:r>
    </w:p>
    <w:p w:rsidR="00A00D5C" w:rsidRDefault="00A00D5C" w:rsidP="00D01331">
      <w:pPr>
        <w:rPr>
          <w:sz w:val="24"/>
          <w:szCs w:val="24"/>
        </w:rPr>
      </w:pPr>
    </w:p>
    <w:p w:rsidR="00311A1B" w:rsidRDefault="00311A1B" w:rsidP="00311A1B">
      <w:pPr>
        <w:rPr>
          <w:b/>
          <w:sz w:val="24"/>
          <w:szCs w:val="24"/>
        </w:rPr>
      </w:pPr>
      <w:r>
        <w:rPr>
          <w:b/>
          <w:sz w:val="24"/>
          <w:szCs w:val="24"/>
        </w:rPr>
        <w:t>Augmentation Need Estimate</w:t>
      </w:r>
    </w:p>
    <w:p w:rsidR="00A0606C" w:rsidRDefault="00C26757" w:rsidP="00FB271E">
      <w:pPr>
        <w:jc w:val="both"/>
        <w:rPr>
          <w:sz w:val="24"/>
          <w:szCs w:val="24"/>
        </w:rPr>
      </w:pPr>
      <w:r>
        <w:rPr>
          <w:sz w:val="24"/>
          <w:szCs w:val="24"/>
        </w:rPr>
        <w:t xml:space="preserve">The augmentation needs were estimated using the same methodology as the previous analysis. </w:t>
      </w:r>
    </w:p>
    <w:p w:rsidR="000B4E19" w:rsidRDefault="000B4E19" w:rsidP="00311A1B">
      <w:pPr>
        <w:rPr>
          <w:sz w:val="24"/>
          <w:szCs w:val="24"/>
        </w:rPr>
      </w:pPr>
    </w:p>
    <w:p w:rsidR="000B4E19" w:rsidRDefault="000B4E19" w:rsidP="000B4E19">
      <w:pPr>
        <w:rPr>
          <w:b/>
          <w:sz w:val="24"/>
          <w:szCs w:val="24"/>
        </w:rPr>
      </w:pPr>
      <w:r>
        <w:rPr>
          <w:b/>
          <w:sz w:val="24"/>
          <w:szCs w:val="24"/>
        </w:rPr>
        <w:t>Conclusion</w:t>
      </w:r>
    </w:p>
    <w:p w:rsidR="000B4E19" w:rsidRDefault="0037620D" w:rsidP="000B4E19">
      <w:pPr>
        <w:rPr>
          <w:sz w:val="24"/>
          <w:szCs w:val="24"/>
        </w:rPr>
      </w:pPr>
      <w:r>
        <w:rPr>
          <w:sz w:val="24"/>
          <w:szCs w:val="24"/>
        </w:rPr>
        <w:t>Fifty</w:t>
      </w:r>
      <w:r w:rsidR="00897910">
        <w:rPr>
          <w:sz w:val="24"/>
          <w:szCs w:val="24"/>
        </w:rPr>
        <w:t xml:space="preserve"> permitted wells and </w:t>
      </w:r>
      <w:r w:rsidR="0007516F">
        <w:rPr>
          <w:sz w:val="24"/>
          <w:szCs w:val="24"/>
        </w:rPr>
        <w:t>115 d</w:t>
      </w:r>
      <w:r w:rsidR="000B4E19">
        <w:rPr>
          <w:sz w:val="24"/>
          <w:szCs w:val="24"/>
        </w:rPr>
        <w:t xml:space="preserve">ecreed wells within the YJWCD boundaries that could potentially be impacted by a call from the </w:t>
      </w:r>
      <w:r w:rsidR="00897910">
        <w:rPr>
          <w:sz w:val="24"/>
          <w:szCs w:val="24"/>
        </w:rPr>
        <w:t>White River Instream Flow water right</w:t>
      </w:r>
      <w:r w:rsidR="000B4E19">
        <w:rPr>
          <w:sz w:val="24"/>
          <w:szCs w:val="24"/>
        </w:rPr>
        <w:t xml:space="preserve">.  The estimated annual consumptive use from these wells totals approximately </w:t>
      </w:r>
      <w:r w:rsidR="00897910">
        <w:rPr>
          <w:sz w:val="24"/>
          <w:szCs w:val="24"/>
        </w:rPr>
        <w:t>911</w:t>
      </w:r>
      <w:r w:rsidR="000B4E19">
        <w:rPr>
          <w:sz w:val="24"/>
          <w:szCs w:val="24"/>
        </w:rPr>
        <w:t xml:space="preserve"> acre-feet</w:t>
      </w:r>
      <w:r>
        <w:rPr>
          <w:sz w:val="24"/>
          <w:szCs w:val="24"/>
        </w:rPr>
        <w:t xml:space="preserve"> assuming a year round call</w:t>
      </w:r>
      <w:r w:rsidR="000B4E19">
        <w:rPr>
          <w:sz w:val="24"/>
          <w:szCs w:val="24"/>
        </w:rPr>
        <w:t xml:space="preserve"> from the </w:t>
      </w:r>
      <w:r w:rsidR="00897910">
        <w:rPr>
          <w:sz w:val="24"/>
          <w:szCs w:val="24"/>
        </w:rPr>
        <w:t>White River Instream Flow water right</w:t>
      </w:r>
      <w:r w:rsidR="000B4E19">
        <w:rPr>
          <w:sz w:val="24"/>
          <w:szCs w:val="24"/>
        </w:rPr>
        <w:t>.</w:t>
      </w:r>
      <w:r>
        <w:rPr>
          <w:sz w:val="24"/>
          <w:szCs w:val="24"/>
        </w:rPr>
        <w:t xml:space="preserve"> As discussed the call would, at most, be in effect during roughly half of the year during an extreme drought. Therefore the actual well augmentation need within the District is probably between 456 and 683 acre-feet depending on the use patterns of the wells.</w:t>
      </w:r>
    </w:p>
    <w:p w:rsidR="00A0606C" w:rsidRPr="001C2FBB" w:rsidRDefault="00A0606C" w:rsidP="00311A1B">
      <w:pPr>
        <w:rPr>
          <w:sz w:val="24"/>
          <w:szCs w:val="24"/>
        </w:rPr>
      </w:pPr>
    </w:p>
    <w:p w:rsidR="001C2FBB" w:rsidRPr="001C2FBB" w:rsidRDefault="001C2FBB" w:rsidP="00311A1B">
      <w:pPr>
        <w:rPr>
          <w:sz w:val="24"/>
          <w:szCs w:val="24"/>
        </w:rPr>
      </w:pPr>
      <w:r w:rsidRPr="001C2FBB">
        <w:rPr>
          <w:sz w:val="24"/>
          <w:szCs w:val="24"/>
        </w:rPr>
        <w:t xml:space="preserve">Table 4 provides a summary and comparison of the </w:t>
      </w:r>
      <w:r>
        <w:rPr>
          <w:sz w:val="24"/>
          <w:szCs w:val="24"/>
        </w:rPr>
        <w:t xml:space="preserve">estimated </w:t>
      </w:r>
      <w:r w:rsidRPr="001C2FBB">
        <w:rPr>
          <w:sz w:val="24"/>
          <w:szCs w:val="24"/>
        </w:rPr>
        <w:t xml:space="preserve">augmentation requirement </w:t>
      </w:r>
      <w:r>
        <w:rPr>
          <w:sz w:val="24"/>
          <w:szCs w:val="24"/>
        </w:rPr>
        <w:t>for a year-round call of the Taylor Draw Power Conduit water right versus a call of the White River Instream Flow right.</w:t>
      </w:r>
    </w:p>
    <w:p w:rsidR="001C2FBB" w:rsidRDefault="001C2FBB" w:rsidP="00311A1B">
      <w:pPr>
        <w:rPr>
          <w:sz w:val="24"/>
          <w:szCs w:val="24"/>
        </w:rPr>
      </w:pPr>
    </w:p>
    <w:p w:rsidR="001C2FBB" w:rsidRDefault="001C2FBB" w:rsidP="001C2FBB">
      <w:pPr>
        <w:jc w:val="center"/>
        <w:rPr>
          <w:b/>
          <w:sz w:val="24"/>
          <w:szCs w:val="24"/>
        </w:rPr>
      </w:pPr>
      <w:r>
        <w:rPr>
          <w:b/>
          <w:sz w:val="24"/>
          <w:szCs w:val="24"/>
        </w:rPr>
        <w:t xml:space="preserve">Table 4 – Augmentation Requirement Based on </w:t>
      </w:r>
      <w:r w:rsidR="0033614B">
        <w:rPr>
          <w:b/>
          <w:sz w:val="24"/>
          <w:szCs w:val="24"/>
        </w:rPr>
        <w:t xml:space="preserve">Year-Round </w:t>
      </w:r>
      <w:r>
        <w:rPr>
          <w:b/>
          <w:sz w:val="24"/>
          <w:szCs w:val="24"/>
        </w:rPr>
        <w:t>Call Scenario</w:t>
      </w:r>
    </w:p>
    <w:tbl>
      <w:tblPr>
        <w:tblW w:w="8534" w:type="dxa"/>
        <w:jc w:val="center"/>
        <w:tblInd w:w="93" w:type="dxa"/>
        <w:tblLook w:val="04A0" w:firstRow="1" w:lastRow="0" w:firstColumn="1" w:lastColumn="0" w:noHBand="0" w:noVBand="1"/>
      </w:tblPr>
      <w:tblGrid>
        <w:gridCol w:w="4501"/>
        <w:gridCol w:w="1260"/>
        <w:gridCol w:w="1440"/>
        <w:gridCol w:w="1333"/>
      </w:tblGrid>
      <w:tr w:rsidR="001C2FBB" w:rsidRPr="001C2FBB" w:rsidTr="00C26757">
        <w:trPr>
          <w:trHeight w:val="300"/>
          <w:jc w:val="center"/>
        </w:trPr>
        <w:tc>
          <w:tcPr>
            <w:tcW w:w="45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C2FBB" w:rsidRPr="001C2FBB" w:rsidRDefault="001C2FBB" w:rsidP="001C2FBB">
            <w:pPr>
              <w:jc w:val="center"/>
              <w:rPr>
                <w:b/>
                <w:bCs/>
                <w:color w:val="000000"/>
                <w:sz w:val="22"/>
                <w:szCs w:val="22"/>
              </w:rPr>
            </w:pPr>
            <w:r w:rsidRPr="001C2FBB">
              <w:rPr>
                <w:b/>
                <w:bCs/>
                <w:color w:val="000000"/>
                <w:sz w:val="22"/>
                <w:szCs w:val="22"/>
              </w:rPr>
              <w:t>Call Scenario</w:t>
            </w:r>
          </w:p>
        </w:tc>
        <w:tc>
          <w:tcPr>
            <w:tcW w:w="403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C2FBB" w:rsidRPr="001C2FBB" w:rsidRDefault="001C2FBB" w:rsidP="001C2FBB">
            <w:pPr>
              <w:jc w:val="center"/>
              <w:rPr>
                <w:b/>
                <w:bCs/>
                <w:color w:val="000000"/>
                <w:sz w:val="22"/>
                <w:szCs w:val="22"/>
              </w:rPr>
            </w:pPr>
            <w:r w:rsidRPr="001C2FBB">
              <w:rPr>
                <w:b/>
                <w:bCs/>
                <w:color w:val="000000"/>
                <w:sz w:val="22"/>
                <w:szCs w:val="22"/>
              </w:rPr>
              <w:t>Augmentation Requirement</w:t>
            </w:r>
            <w:r>
              <w:rPr>
                <w:b/>
                <w:bCs/>
                <w:color w:val="000000"/>
                <w:sz w:val="22"/>
                <w:szCs w:val="22"/>
              </w:rPr>
              <w:t xml:space="preserve"> [ac-</w:t>
            </w:r>
            <w:proofErr w:type="spellStart"/>
            <w:r>
              <w:rPr>
                <w:b/>
                <w:bCs/>
                <w:color w:val="000000"/>
                <w:sz w:val="22"/>
                <w:szCs w:val="22"/>
              </w:rPr>
              <w:t>ft</w:t>
            </w:r>
            <w:proofErr w:type="spellEnd"/>
            <w:r>
              <w:rPr>
                <w:b/>
                <w:bCs/>
                <w:color w:val="000000"/>
                <w:sz w:val="22"/>
                <w:szCs w:val="22"/>
              </w:rPr>
              <w:t>]</w:t>
            </w:r>
          </w:p>
        </w:tc>
      </w:tr>
      <w:tr w:rsidR="001C2FBB" w:rsidRPr="001C2FBB" w:rsidTr="00C26757">
        <w:trPr>
          <w:trHeight w:val="300"/>
          <w:jc w:val="center"/>
        </w:trPr>
        <w:tc>
          <w:tcPr>
            <w:tcW w:w="4501" w:type="dxa"/>
            <w:vMerge/>
            <w:tcBorders>
              <w:top w:val="single" w:sz="4" w:space="0" w:color="auto"/>
              <w:left w:val="single" w:sz="4" w:space="0" w:color="auto"/>
              <w:bottom w:val="single" w:sz="4" w:space="0" w:color="000000"/>
              <w:right w:val="single" w:sz="4" w:space="0" w:color="auto"/>
            </w:tcBorders>
            <w:vAlign w:val="center"/>
            <w:hideMark/>
          </w:tcPr>
          <w:p w:rsidR="001C2FBB" w:rsidRPr="001C2FBB" w:rsidRDefault="001C2FBB" w:rsidP="001C2FBB">
            <w:pPr>
              <w:rPr>
                <w:b/>
                <w:bCs/>
                <w:color w:val="000000"/>
                <w:sz w:val="22"/>
                <w:szCs w:val="22"/>
              </w:rPr>
            </w:pPr>
          </w:p>
        </w:tc>
        <w:tc>
          <w:tcPr>
            <w:tcW w:w="1260" w:type="dxa"/>
            <w:tcBorders>
              <w:top w:val="nil"/>
              <w:left w:val="nil"/>
              <w:bottom w:val="single" w:sz="4" w:space="0" w:color="auto"/>
              <w:right w:val="nil"/>
            </w:tcBorders>
            <w:shd w:val="clear" w:color="auto" w:fill="auto"/>
            <w:noWrap/>
            <w:vAlign w:val="bottom"/>
            <w:hideMark/>
          </w:tcPr>
          <w:p w:rsidR="001C2FBB" w:rsidRPr="001C2FBB" w:rsidRDefault="001C2FBB" w:rsidP="001C2FBB">
            <w:pPr>
              <w:jc w:val="center"/>
              <w:rPr>
                <w:b/>
                <w:bCs/>
                <w:color w:val="000000"/>
                <w:sz w:val="22"/>
                <w:szCs w:val="22"/>
              </w:rPr>
            </w:pPr>
            <w:r w:rsidRPr="001C2FBB">
              <w:rPr>
                <w:b/>
                <w:bCs/>
                <w:color w:val="000000"/>
                <w:sz w:val="22"/>
                <w:szCs w:val="22"/>
              </w:rPr>
              <w:t>Permitted Wells</w:t>
            </w:r>
          </w:p>
        </w:tc>
        <w:tc>
          <w:tcPr>
            <w:tcW w:w="1440" w:type="dxa"/>
            <w:tcBorders>
              <w:top w:val="nil"/>
              <w:left w:val="nil"/>
              <w:bottom w:val="single" w:sz="4" w:space="0" w:color="auto"/>
              <w:right w:val="nil"/>
            </w:tcBorders>
            <w:shd w:val="clear" w:color="auto" w:fill="auto"/>
            <w:noWrap/>
            <w:vAlign w:val="bottom"/>
            <w:hideMark/>
          </w:tcPr>
          <w:p w:rsidR="001C2FBB" w:rsidRPr="001C2FBB" w:rsidRDefault="001C2FBB" w:rsidP="001C2FBB">
            <w:pPr>
              <w:jc w:val="center"/>
              <w:rPr>
                <w:b/>
                <w:bCs/>
                <w:color w:val="000000"/>
                <w:sz w:val="22"/>
                <w:szCs w:val="22"/>
              </w:rPr>
            </w:pPr>
            <w:r w:rsidRPr="001C2FBB">
              <w:rPr>
                <w:b/>
                <w:bCs/>
                <w:color w:val="000000"/>
                <w:sz w:val="22"/>
                <w:szCs w:val="22"/>
              </w:rPr>
              <w:t>Decreed Wells</w:t>
            </w:r>
          </w:p>
        </w:tc>
        <w:tc>
          <w:tcPr>
            <w:tcW w:w="1333" w:type="dxa"/>
            <w:tcBorders>
              <w:top w:val="nil"/>
              <w:left w:val="nil"/>
              <w:bottom w:val="single" w:sz="4" w:space="0" w:color="auto"/>
              <w:right w:val="single" w:sz="4" w:space="0" w:color="auto"/>
            </w:tcBorders>
            <w:shd w:val="clear" w:color="auto" w:fill="auto"/>
            <w:noWrap/>
            <w:vAlign w:val="bottom"/>
            <w:hideMark/>
          </w:tcPr>
          <w:p w:rsidR="001C2FBB" w:rsidRPr="001C2FBB" w:rsidRDefault="001C2FBB" w:rsidP="001C2FBB">
            <w:pPr>
              <w:jc w:val="center"/>
              <w:rPr>
                <w:b/>
                <w:bCs/>
                <w:color w:val="000000"/>
                <w:sz w:val="22"/>
                <w:szCs w:val="22"/>
              </w:rPr>
            </w:pPr>
            <w:r w:rsidRPr="001C2FBB">
              <w:rPr>
                <w:b/>
                <w:bCs/>
                <w:color w:val="000000"/>
                <w:sz w:val="22"/>
                <w:szCs w:val="22"/>
              </w:rPr>
              <w:t>Total</w:t>
            </w:r>
          </w:p>
        </w:tc>
      </w:tr>
      <w:tr w:rsidR="001C2FBB" w:rsidRPr="001C2FBB" w:rsidTr="00C26757">
        <w:trPr>
          <w:trHeight w:val="300"/>
          <w:jc w:val="center"/>
        </w:trPr>
        <w:tc>
          <w:tcPr>
            <w:tcW w:w="4501" w:type="dxa"/>
            <w:tcBorders>
              <w:top w:val="nil"/>
              <w:left w:val="single" w:sz="4" w:space="0" w:color="auto"/>
              <w:bottom w:val="nil"/>
              <w:right w:val="single" w:sz="4" w:space="0" w:color="auto"/>
            </w:tcBorders>
            <w:shd w:val="clear" w:color="auto" w:fill="auto"/>
            <w:noWrap/>
            <w:vAlign w:val="bottom"/>
            <w:hideMark/>
          </w:tcPr>
          <w:p w:rsidR="001C2FBB" w:rsidRPr="001C2FBB" w:rsidRDefault="001C2FBB" w:rsidP="001C2FBB">
            <w:pPr>
              <w:jc w:val="center"/>
              <w:rPr>
                <w:color w:val="000000"/>
                <w:sz w:val="22"/>
                <w:szCs w:val="22"/>
              </w:rPr>
            </w:pPr>
            <w:r w:rsidRPr="001C2FBB">
              <w:rPr>
                <w:color w:val="000000"/>
                <w:sz w:val="22"/>
                <w:szCs w:val="22"/>
              </w:rPr>
              <w:t>Taylor Draw Power Conduit</w:t>
            </w:r>
          </w:p>
        </w:tc>
        <w:tc>
          <w:tcPr>
            <w:tcW w:w="1260" w:type="dxa"/>
            <w:tcBorders>
              <w:top w:val="nil"/>
              <w:left w:val="nil"/>
              <w:bottom w:val="nil"/>
              <w:right w:val="nil"/>
            </w:tcBorders>
            <w:shd w:val="clear" w:color="auto" w:fill="auto"/>
            <w:noWrap/>
            <w:vAlign w:val="bottom"/>
            <w:hideMark/>
          </w:tcPr>
          <w:p w:rsidR="001C2FBB" w:rsidRPr="001C2FBB" w:rsidRDefault="001C2FBB" w:rsidP="001C2FBB">
            <w:pPr>
              <w:jc w:val="center"/>
              <w:rPr>
                <w:color w:val="000000"/>
                <w:sz w:val="22"/>
                <w:szCs w:val="22"/>
              </w:rPr>
            </w:pPr>
            <w:r w:rsidRPr="001C2FBB">
              <w:rPr>
                <w:color w:val="000000"/>
                <w:sz w:val="22"/>
                <w:szCs w:val="22"/>
              </w:rPr>
              <w:t>1,803</w:t>
            </w:r>
          </w:p>
        </w:tc>
        <w:tc>
          <w:tcPr>
            <w:tcW w:w="1440" w:type="dxa"/>
            <w:tcBorders>
              <w:top w:val="nil"/>
              <w:left w:val="nil"/>
              <w:bottom w:val="nil"/>
              <w:right w:val="nil"/>
            </w:tcBorders>
            <w:shd w:val="clear" w:color="auto" w:fill="auto"/>
            <w:noWrap/>
            <w:vAlign w:val="bottom"/>
            <w:hideMark/>
          </w:tcPr>
          <w:p w:rsidR="001C2FBB" w:rsidRPr="001C2FBB" w:rsidRDefault="001C2FBB" w:rsidP="001C2FBB">
            <w:pPr>
              <w:jc w:val="center"/>
              <w:rPr>
                <w:color w:val="000000"/>
                <w:sz w:val="22"/>
                <w:szCs w:val="22"/>
              </w:rPr>
            </w:pPr>
            <w:r w:rsidRPr="001C2FBB">
              <w:rPr>
                <w:color w:val="000000"/>
                <w:sz w:val="22"/>
                <w:szCs w:val="22"/>
              </w:rPr>
              <w:t>2,414</w:t>
            </w:r>
          </w:p>
        </w:tc>
        <w:tc>
          <w:tcPr>
            <w:tcW w:w="1333" w:type="dxa"/>
            <w:tcBorders>
              <w:top w:val="nil"/>
              <w:left w:val="nil"/>
              <w:bottom w:val="nil"/>
              <w:right w:val="single" w:sz="4" w:space="0" w:color="auto"/>
            </w:tcBorders>
            <w:shd w:val="clear" w:color="auto" w:fill="auto"/>
            <w:noWrap/>
            <w:vAlign w:val="bottom"/>
            <w:hideMark/>
          </w:tcPr>
          <w:p w:rsidR="001C2FBB" w:rsidRPr="001C2FBB" w:rsidRDefault="001C2FBB" w:rsidP="001C2FBB">
            <w:pPr>
              <w:jc w:val="center"/>
              <w:rPr>
                <w:color w:val="000000"/>
                <w:sz w:val="22"/>
                <w:szCs w:val="22"/>
              </w:rPr>
            </w:pPr>
            <w:r w:rsidRPr="001C2FBB">
              <w:rPr>
                <w:color w:val="000000"/>
                <w:sz w:val="22"/>
                <w:szCs w:val="22"/>
              </w:rPr>
              <w:t>4,217</w:t>
            </w:r>
          </w:p>
        </w:tc>
      </w:tr>
      <w:tr w:rsidR="00C26757" w:rsidRPr="001C2FBB" w:rsidTr="00C26757">
        <w:trPr>
          <w:trHeight w:val="300"/>
          <w:jc w:val="center"/>
        </w:trPr>
        <w:tc>
          <w:tcPr>
            <w:tcW w:w="4501" w:type="dxa"/>
            <w:tcBorders>
              <w:top w:val="nil"/>
              <w:left w:val="single" w:sz="4" w:space="0" w:color="auto"/>
              <w:bottom w:val="single" w:sz="4" w:space="0" w:color="auto"/>
              <w:right w:val="single" w:sz="4" w:space="0" w:color="auto"/>
            </w:tcBorders>
            <w:shd w:val="clear" w:color="auto" w:fill="auto"/>
            <w:noWrap/>
            <w:vAlign w:val="bottom"/>
          </w:tcPr>
          <w:p w:rsidR="00C26757" w:rsidRPr="001C2FBB" w:rsidRDefault="00C26757" w:rsidP="00C26757">
            <w:pPr>
              <w:jc w:val="center"/>
              <w:rPr>
                <w:color w:val="000000"/>
                <w:sz w:val="22"/>
                <w:szCs w:val="22"/>
              </w:rPr>
            </w:pPr>
            <w:bookmarkStart w:id="0" w:name="_GoBack"/>
            <w:bookmarkEnd w:id="0"/>
            <w:r w:rsidRPr="001C2FBB">
              <w:rPr>
                <w:color w:val="000000"/>
                <w:sz w:val="22"/>
                <w:szCs w:val="22"/>
              </w:rPr>
              <w:t>White River Instream Flow</w:t>
            </w:r>
            <w:r>
              <w:rPr>
                <w:color w:val="000000"/>
                <w:sz w:val="22"/>
                <w:szCs w:val="22"/>
              </w:rPr>
              <w:t xml:space="preserve"> –Partial Year</w:t>
            </w:r>
          </w:p>
        </w:tc>
        <w:tc>
          <w:tcPr>
            <w:tcW w:w="1260" w:type="dxa"/>
            <w:tcBorders>
              <w:top w:val="nil"/>
              <w:left w:val="nil"/>
              <w:bottom w:val="single" w:sz="4" w:space="0" w:color="auto"/>
              <w:right w:val="nil"/>
            </w:tcBorders>
            <w:shd w:val="clear" w:color="auto" w:fill="auto"/>
            <w:noWrap/>
            <w:vAlign w:val="bottom"/>
          </w:tcPr>
          <w:p w:rsidR="00C26757" w:rsidRPr="001C2FBB" w:rsidRDefault="00C26757" w:rsidP="001C2FBB">
            <w:pPr>
              <w:jc w:val="center"/>
              <w:rPr>
                <w:color w:val="000000"/>
                <w:sz w:val="22"/>
                <w:szCs w:val="22"/>
              </w:rPr>
            </w:pPr>
            <w:r>
              <w:rPr>
                <w:color w:val="000000"/>
                <w:sz w:val="22"/>
                <w:szCs w:val="22"/>
              </w:rPr>
              <w:t>270-405</w:t>
            </w:r>
          </w:p>
        </w:tc>
        <w:tc>
          <w:tcPr>
            <w:tcW w:w="1440" w:type="dxa"/>
            <w:tcBorders>
              <w:top w:val="nil"/>
              <w:left w:val="nil"/>
              <w:bottom w:val="single" w:sz="4" w:space="0" w:color="auto"/>
              <w:right w:val="nil"/>
            </w:tcBorders>
            <w:shd w:val="clear" w:color="auto" w:fill="auto"/>
            <w:noWrap/>
            <w:vAlign w:val="bottom"/>
          </w:tcPr>
          <w:p w:rsidR="00C26757" w:rsidRPr="001C2FBB" w:rsidRDefault="00C26757" w:rsidP="001C2FBB">
            <w:pPr>
              <w:jc w:val="center"/>
              <w:rPr>
                <w:color w:val="000000"/>
                <w:sz w:val="22"/>
                <w:szCs w:val="22"/>
              </w:rPr>
            </w:pPr>
            <w:r>
              <w:rPr>
                <w:color w:val="000000"/>
                <w:sz w:val="22"/>
                <w:szCs w:val="22"/>
              </w:rPr>
              <w:t>185-278</w:t>
            </w:r>
          </w:p>
        </w:tc>
        <w:tc>
          <w:tcPr>
            <w:tcW w:w="1333" w:type="dxa"/>
            <w:tcBorders>
              <w:top w:val="nil"/>
              <w:left w:val="nil"/>
              <w:bottom w:val="single" w:sz="4" w:space="0" w:color="auto"/>
              <w:right w:val="single" w:sz="4" w:space="0" w:color="auto"/>
            </w:tcBorders>
            <w:shd w:val="clear" w:color="auto" w:fill="auto"/>
            <w:noWrap/>
            <w:vAlign w:val="bottom"/>
          </w:tcPr>
          <w:p w:rsidR="00C26757" w:rsidRPr="001C2FBB" w:rsidRDefault="00C26757" w:rsidP="001C2FBB">
            <w:pPr>
              <w:jc w:val="center"/>
              <w:rPr>
                <w:color w:val="000000"/>
                <w:sz w:val="22"/>
                <w:szCs w:val="22"/>
              </w:rPr>
            </w:pPr>
            <w:r>
              <w:rPr>
                <w:color w:val="000000"/>
                <w:sz w:val="22"/>
                <w:szCs w:val="22"/>
              </w:rPr>
              <w:t>455-683</w:t>
            </w:r>
          </w:p>
        </w:tc>
      </w:tr>
    </w:tbl>
    <w:p w:rsidR="001C2FBB" w:rsidRDefault="001C2FBB" w:rsidP="00311A1B">
      <w:pPr>
        <w:rPr>
          <w:sz w:val="24"/>
          <w:szCs w:val="24"/>
        </w:rPr>
      </w:pPr>
    </w:p>
    <w:sectPr w:rsidR="001C2FBB" w:rsidSect="00AA11E2">
      <w:footerReference w:type="default" r:id="rId11"/>
      <w:pgSz w:w="12240" w:h="15840" w:code="1"/>
      <w:pgMar w:top="994" w:right="864" w:bottom="1440" w:left="864" w:header="72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169" w:rsidRDefault="00691169">
      <w:r>
        <w:separator/>
      </w:r>
    </w:p>
  </w:endnote>
  <w:endnote w:type="continuationSeparator" w:id="0">
    <w:p w:rsidR="00691169" w:rsidRDefault="0069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169" w:rsidRPr="00430C9D" w:rsidRDefault="00691169" w:rsidP="00430C9D">
    <w:pPr>
      <w:pStyle w:val="Footer"/>
      <w:pBdr>
        <w:top w:val="single" w:sz="6" w:space="0" w:color="auto"/>
      </w:pBdr>
      <w:tabs>
        <w:tab w:val="clear" w:pos="4320"/>
        <w:tab w:val="clear" w:pos="8640"/>
        <w:tab w:val="right" w:pos="10530"/>
      </w:tabs>
      <w:rPr>
        <w:sz w:val="18"/>
        <w:szCs w:val="18"/>
      </w:rPr>
    </w:pPr>
    <w:r w:rsidRPr="00430C9D">
      <w:rPr>
        <w:sz w:val="18"/>
        <w:szCs w:val="18"/>
      </w:rPr>
      <w:t>1490 W. 121</w:t>
    </w:r>
    <w:r w:rsidRPr="00430C9D">
      <w:rPr>
        <w:sz w:val="18"/>
        <w:szCs w:val="18"/>
        <w:vertAlign w:val="superscript"/>
      </w:rPr>
      <w:t>st</w:t>
    </w:r>
    <w:r w:rsidRPr="00430C9D">
      <w:rPr>
        <w:sz w:val="18"/>
        <w:szCs w:val="18"/>
      </w:rPr>
      <w:t xml:space="preserve"> Avenue, Suite 100</w:t>
    </w:r>
    <w:r w:rsidRPr="00430C9D">
      <w:rPr>
        <w:sz w:val="18"/>
        <w:szCs w:val="18"/>
      </w:rPr>
      <w:tab/>
      <w:t>823 Grand Avenue, Suite 120</w:t>
    </w:r>
  </w:p>
  <w:p w:rsidR="00691169" w:rsidRPr="00430C9D" w:rsidRDefault="00691169" w:rsidP="00430C9D">
    <w:pPr>
      <w:pStyle w:val="Footer"/>
      <w:pBdr>
        <w:top w:val="single" w:sz="6" w:space="0" w:color="auto"/>
      </w:pBdr>
      <w:tabs>
        <w:tab w:val="clear" w:pos="4320"/>
        <w:tab w:val="clear" w:pos="8640"/>
        <w:tab w:val="right" w:pos="10530"/>
      </w:tabs>
      <w:spacing w:after="60"/>
      <w:rPr>
        <w:sz w:val="18"/>
        <w:szCs w:val="18"/>
      </w:rPr>
    </w:pPr>
    <w:r w:rsidRPr="00430C9D">
      <w:rPr>
        <w:sz w:val="18"/>
        <w:szCs w:val="18"/>
      </w:rPr>
      <w:t>Denver, CO 80234</w:t>
    </w:r>
    <w:r w:rsidRPr="00430C9D">
      <w:rPr>
        <w:sz w:val="18"/>
        <w:szCs w:val="18"/>
      </w:rPr>
      <w:tab/>
      <w:t>Glenwood Springs, CO 81601</w:t>
    </w:r>
  </w:p>
  <w:p w:rsidR="00691169" w:rsidRPr="00430C9D" w:rsidRDefault="00691169" w:rsidP="00430C9D">
    <w:pPr>
      <w:pStyle w:val="Footer"/>
      <w:pBdr>
        <w:top w:val="single" w:sz="6" w:space="0" w:color="auto"/>
      </w:pBdr>
      <w:tabs>
        <w:tab w:val="clear" w:pos="8640"/>
        <w:tab w:val="right" w:pos="10530"/>
      </w:tabs>
      <w:jc w:val="center"/>
      <w:rPr>
        <w:sz w:val="18"/>
        <w:szCs w:val="18"/>
      </w:rPr>
    </w:pPr>
    <w:r w:rsidRPr="00430C9D">
      <w:rPr>
        <w:sz w:val="18"/>
        <w:szCs w:val="18"/>
      </w:rPr>
      <w:t>303-452-6611</w:t>
    </w:r>
  </w:p>
  <w:p w:rsidR="00691169" w:rsidRPr="00430C9D" w:rsidRDefault="00691169" w:rsidP="00430C9D">
    <w:pPr>
      <w:pStyle w:val="Footer"/>
      <w:pBdr>
        <w:top w:val="single" w:sz="6" w:space="0" w:color="auto"/>
      </w:pBdr>
      <w:tabs>
        <w:tab w:val="clear" w:pos="8640"/>
        <w:tab w:val="right" w:pos="10530"/>
      </w:tabs>
      <w:jc w:val="center"/>
      <w:rPr>
        <w:sz w:val="16"/>
        <w:szCs w:val="16"/>
      </w:rPr>
    </w:pPr>
    <w:r w:rsidRPr="00430C9D">
      <w:rPr>
        <w:sz w:val="18"/>
        <w:szCs w:val="18"/>
      </w:rPr>
      <w:t>www.applegategroup.com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169" w:rsidRDefault="00691169">
      <w:r>
        <w:separator/>
      </w:r>
    </w:p>
  </w:footnote>
  <w:footnote w:type="continuationSeparator" w:id="0">
    <w:p w:rsidR="00691169" w:rsidRDefault="00691169">
      <w:r>
        <w:continuationSeparator/>
      </w:r>
    </w:p>
  </w:footnote>
  <w:footnote w:id="1">
    <w:p w:rsidR="002E0817" w:rsidRDefault="002E0817" w:rsidP="002E0817">
      <w:pPr>
        <w:pStyle w:val="FootnoteText"/>
      </w:pPr>
      <w:r>
        <w:rPr>
          <w:rStyle w:val="FootnoteReference"/>
        </w:rPr>
        <w:footnoteRef/>
      </w:r>
      <w:r>
        <w:t xml:space="preserve"> B</w:t>
      </w:r>
      <w:r w:rsidRPr="0033614B">
        <w:t>ased on an analysis of streamflow records from USGS Gage No. 09304200 (WHITE RIVER ABOVE COAL CREEK NEAR MEEKER, 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B9B"/>
    <w:multiLevelType w:val="hybridMultilevel"/>
    <w:tmpl w:val="570E3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D5050"/>
    <w:multiLevelType w:val="hybridMultilevel"/>
    <w:tmpl w:val="A86A8FCA"/>
    <w:lvl w:ilvl="0" w:tplc="264458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A4F6F"/>
    <w:multiLevelType w:val="hybridMultilevel"/>
    <w:tmpl w:val="C584D92E"/>
    <w:lvl w:ilvl="0" w:tplc="7B3AF2F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454C9D"/>
    <w:multiLevelType w:val="hybridMultilevel"/>
    <w:tmpl w:val="DE587F5A"/>
    <w:lvl w:ilvl="0" w:tplc="E13C80CE">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74C59A5"/>
    <w:multiLevelType w:val="hybridMultilevel"/>
    <w:tmpl w:val="8E525C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895DF8"/>
    <w:multiLevelType w:val="hybridMultilevel"/>
    <w:tmpl w:val="98580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677CA"/>
    <w:multiLevelType w:val="hybridMultilevel"/>
    <w:tmpl w:val="9374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EF2BF2"/>
    <w:multiLevelType w:val="hybridMultilevel"/>
    <w:tmpl w:val="3ED00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B948CE"/>
    <w:multiLevelType w:val="hybridMultilevel"/>
    <w:tmpl w:val="57E0A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BA4540"/>
    <w:multiLevelType w:val="hybridMultilevel"/>
    <w:tmpl w:val="B4E8DF82"/>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0">
    <w:nsid w:val="71A16D5E"/>
    <w:multiLevelType w:val="hybridMultilevel"/>
    <w:tmpl w:val="E87096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0"/>
  </w:num>
  <w:num w:numId="4">
    <w:abstractNumId w:val="7"/>
  </w:num>
  <w:num w:numId="5">
    <w:abstractNumId w:val="9"/>
  </w:num>
  <w:num w:numId="6">
    <w:abstractNumId w:val="8"/>
  </w:num>
  <w:num w:numId="7">
    <w:abstractNumId w:val="4"/>
  </w:num>
  <w:num w:numId="8">
    <w:abstractNumId w:val="5"/>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2A"/>
    <w:rsid w:val="00007C77"/>
    <w:rsid w:val="00013CE0"/>
    <w:rsid w:val="0001545B"/>
    <w:rsid w:val="00016DB5"/>
    <w:rsid w:val="00032834"/>
    <w:rsid w:val="00034701"/>
    <w:rsid w:val="00043196"/>
    <w:rsid w:val="0005709D"/>
    <w:rsid w:val="000744DD"/>
    <w:rsid w:val="0007516F"/>
    <w:rsid w:val="00086FB0"/>
    <w:rsid w:val="000B4E19"/>
    <w:rsid w:val="000E2015"/>
    <w:rsid w:val="000F1383"/>
    <w:rsid w:val="000F2FD5"/>
    <w:rsid w:val="001115C9"/>
    <w:rsid w:val="00112EFA"/>
    <w:rsid w:val="00114D06"/>
    <w:rsid w:val="00124DD2"/>
    <w:rsid w:val="001502F3"/>
    <w:rsid w:val="00150732"/>
    <w:rsid w:val="00170B07"/>
    <w:rsid w:val="00177DDC"/>
    <w:rsid w:val="001934A1"/>
    <w:rsid w:val="001A0C8C"/>
    <w:rsid w:val="001A2746"/>
    <w:rsid w:val="001B1639"/>
    <w:rsid w:val="001C2FBB"/>
    <w:rsid w:val="001D4017"/>
    <w:rsid w:val="001D6B6B"/>
    <w:rsid w:val="001D7323"/>
    <w:rsid w:val="001E271C"/>
    <w:rsid w:val="001F6243"/>
    <w:rsid w:val="00217E49"/>
    <w:rsid w:val="00281DBC"/>
    <w:rsid w:val="002B6579"/>
    <w:rsid w:val="002C3382"/>
    <w:rsid w:val="002D2993"/>
    <w:rsid w:val="002D595C"/>
    <w:rsid w:val="002E0817"/>
    <w:rsid w:val="002F76DE"/>
    <w:rsid w:val="002F78CA"/>
    <w:rsid w:val="00311A1B"/>
    <w:rsid w:val="00327DBC"/>
    <w:rsid w:val="0033614B"/>
    <w:rsid w:val="00337662"/>
    <w:rsid w:val="00375C1D"/>
    <w:rsid w:val="0037620D"/>
    <w:rsid w:val="003C1280"/>
    <w:rsid w:val="003F103D"/>
    <w:rsid w:val="00407254"/>
    <w:rsid w:val="00430C9D"/>
    <w:rsid w:val="00442ABF"/>
    <w:rsid w:val="00453D11"/>
    <w:rsid w:val="004548DF"/>
    <w:rsid w:val="00465CD7"/>
    <w:rsid w:val="00472FDF"/>
    <w:rsid w:val="00495569"/>
    <w:rsid w:val="004A0828"/>
    <w:rsid w:val="004A6845"/>
    <w:rsid w:val="004E346B"/>
    <w:rsid w:val="004E593F"/>
    <w:rsid w:val="004F7FAE"/>
    <w:rsid w:val="00510E9A"/>
    <w:rsid w:val="00527379"/>
    <w:rsid w:val="00532176"/>
    <w:rsid w:val="005411B6"/>
    <w:rsid w:val="005575B2"/>
    <w:rsid w:val="005604C3"/>
    <w:rsid w:val="005709F6"/>
    <w:rsid w:val="0057751E"/>
    <w:rsid w:val="00585444"/>
    <w:rsid w:val="005B21FF"/>
    <w:rsid w:val="005B3B50"/>
    <w:rsid w:val="005D1EE0"/>
    <w:rsid w:val="005E32DB"/>
    <w:rsid w:val="005F24D7"/>
    <w:rsid w:val="00601A1B"/>
    <w:rsid w:val="0062323F"/>
    <w:rsid w:val="00630D45"/>
    <w:rsid w:val="00690E16"/>
    <w:rsid w:val="00691169"/>
    <w:rsid w:val="006B0465"/>
    <w:rsid w:val="006D0A9B"/>
    <w:rsid w:val="006E55B7"/>
    <w:rsid w:val="00703E70"/>
    <w:rsid w:val="007313B8"/>
    <w:rsid w:val="0074182B"/>
    <w:rsid w:val="00741D66"/>
    <w:rsid w:val="00795C8F"/>
    <w:rsid w:val="007C4CE6"/>
    <w:rsid w:val="007E44E7"/>
    <w:rsid w:val="007E7CA7"/>
    <w:rsid w:val="008017C6"/>
    <w:rsid w:val="008260B3"/>
    <w:rsid w:val="00826F14"/>
    <w:rsid w:val="0083101B"/>
    <w:rsid w:val="00835B4F"/>
    <w:rsid w:val="00841A39"/>
    <w:rsid w:val="00843D48"/>
    <w:rsid w:val="0086530A"/>
    <w:rsid w:val="00882A33"/>
    <w:rsid w:val="00893FA6"/>
    <w:rsid w:val="00897910"/>
    <w:rsid w:val="008F6118"/>
    <w:rsid w:val="00917096"/>
    <w:rsid w:val="009211E8"/>
    <w:rsid w:val="00925150"/>
    <w:rsid w:val="0092619C"/>
    <w:rsid w:val="00967423"/>
    <w:rsid w:val="00971085"/>
    <w:rsid w:val="00985B3B"/>
    <w:rsid w:val="009C18D5"/>
    <w:rsid w:val="009F3C3E"/>
    <w:rsid w:val="00A00D5C"/>
    <w:rsid w:val="00A03287"/>
    <w:rsid w:val="00A032D1"/>
    <w:rsid w:val="00A0606C"/>
    <w:rsid w:val="00A236ED"/>
    <w:rsid w:val="00A54DFD"/>
    <w:rsid w:val="00A66194"/>
    <w:rsid w:val="00A75952"/>
    <w:rsid w:val="00AA11E2"/>
    <w:rsid w:val="00AE3F33"/>
    <w:rsid w:val="00AE67FF"/>
    <w:rsid w:val="00B24220"/>
    <w:rsid w:val="00B35ED1"/>
    <w:rsid w:val="00B645D7"/>
    <w:rsid w:val="00B703E1"/>
    <w:rsid w:val="00B856C1"/>
    <w:rsid w:val="00B86175"/>
    <w:rsid w:val="00BA51F4"/>
    <w:rsid w:val="00BA7BE1"/>
    <w:rsid w:val="00BE03CD"/>
    <w:rsid w:val="00BF6AA7"/>
    <w:rsid w:val="00C25452"/>
    <w:rsid w:val="00C26757"/>
    <w:rsid w:val="00C56AA8"/>
    <w:rsid w:val="00C83A0B"/>
    <w:rsid w:val="00C85084"/>
    <w:rsid w:val="00CA6FBA"/>
    <w:rsid w:val="00CD0881"/>
    <w:rsid w:val="00CF1243"/>
    <w:rsid w:val="00D01331"/>
    <w:rsid w:val="00D144D3"/>
    <w:rsid w:val="00D25153"/>
    <w:rsid w:val="00D4242A"/>
    <w:rsid w:val="00D459A0"/>
    <w:rsid w:val="00D46E2A"/>
    <w:rsid w:val="00D5113E"/>
    <w:rsid w:val="00D66216"/>
    <w:rsid w:val="00D70B13"/>
    <w:rsid w:val="00D832A1"/>
    <w:rsid w:val="00D8584C"/>
    <w:rsid w:val="00D95705"/>
    <w:rsid w:val="00D964F6"/>
    <w:rsid w:val="00DE5C3B"/>
    <w:rsid w:val="00E37361"/>
    <w:rsid w:val="00E446FA"/>
    <w:rsid w:val="00E72170"/>
    <w:rsid w:val="00E80B84"/>
    <w:rsid w:val="00EA19A9"/>
    <w:rsid w:val="00EE3D7E"/>
    <w:rsid w:val="00EF5857"/>
    <w:rsid w:val="00F0763F"/>
    <w:rsid w:val="00F221BA"/>
    <w:rsid w:val="00F236DB"/>
    <w:rsid w:val="00F312D2"/>
    <w:rsid w:val="00F538B1"/>
    <w:rsid w:val="00F6741D"/>
    <w:rsid w:val="00FA7A1F"/>
    <w:rsid w:val="00FB271E"/>
    <w:rsid w:val="00FD6B17"/>
    <w:rsid w:val="00FE2298"/>
    <w:rsid w:val="00FE23E8"/>
    <w:rsid w:val="00FE5239"/>
    <w:rsid w:val="00FF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881"/>
  </w:style>
  <w:style w:type="paragraph" w:styleId="Heading1">
    <w:name w:val="heading 1"/>
    <w:basedOn w:val="Normal"/>
    <w:next w:val="Normal"/>
    <w:qFormat/>
    <w:rsid w:val="00D01331"/>
    <w:pPr>
      <w:keepNext/>
      <w:outlineLvl w:val="0"/>
    </w:pPr>
    <w:rPr>
      <w:b/>
      <w:bCs/>
      <w:iCs/>
      <w:caps/>
    </w:rPr>
  </w:style>
  <w:style w:type="paragraph" w:styleId="Heading2">
    <w:name w:val="heading 2"/>
    <w:basedOn w:val="Normal"/>
    <w:next w:val="Normal"/>
    <w:qFormat/>
    <w:rsid w:val="00CD0881"/>
    <w:pPr>
      <w:keepNext/>
      <w:outlineLvl w:val="1"/>
    </w:pPr>
    <w:rPr>
      <w:b/>
      <w:bCs/>
    </w:rPr>
  </w:style>
  <w:style w:type="paragraph" w:styleId="Heading3">
    <w:name w:val="heading 3"/>
    <w:basedOn w:val="Normal"/>
    <w:next w:val="Normal"/>
    <w:qFormat/>
    <w:rsid w:val="00D01331"/>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CD0881"/>
    <w:pPr>
      <w:tabs>
        <w:tab w:val="left" w:pos="1080"/>
        <w:tab w:val="center" w:pos="4680"/>
        <w:tab w:val="left" w:pos="9000"/>
        <w:tab w:val="right" w:pos="9360"/>
      </w:tabs>
      <w:suppressAutoHyphens/>
    </w:pPr>
    <w:rPr>
      <w:spacing w:val="-3"/>
      <w:sz w:val="24"/>
    </w:rPr>
  </w:style>
  <w:style w:type="paragraph" w:customStyle="1" w:styleId="Para">
    <w:name w:val="Para"/>
    <w:basedOn w:val="Normal"/>
    <w:rsid w:val="00CD0881"/>
    <w:pPr>
      <w:tabs>
        <w:tab w:val="left" w:pos="1080"/>
        <w:tab w:val="center" w:pos="4680"/>
      </w:tabs>
      <w:suppressAutoHyphens/>
      <w:spacing w:before="120"/>
      <w:jc w:val="both"/>
    </w:pPr>
    <w:rPr>
      <w:spacing w:val="-3"/>
      <w:sz w:val="24"/>
    </w:rPr>
  </w:style>
  <w:style w:type="paragraph" w:styleId="Header">
    <w:name w:val="header"/>
    <w:basedOn w:val="Normal"/>
    <w:rsid w:val="00CD0881"/>
    <w:pPr>
      <w:tabs>
        <w:tab w:val="center" w:pos="4320"/>
        <w:tab w:val="right" w:pos="8640"/>
      </w:tabs>
    </w:pPr>
  </w:style>
  <w:style w:type="paragraph" w:styleId="Footer">
    <w:name w:val="footer"/>
    <w:basedOn w:val="Normal"/>
    <w:rsid w:val="00CD0881"/>
    <w:pPr>
      <w:tabs>
        <w:tab w:val="center" w:pos="4320"/>
        <w:tab w:val="right" w:pos="8640"/>
      </w:tabs>
    </w:pPr>
  </w:style>
  <w:style w:type="paragraph" w:styleId="BodyTextIndent">
    <w:name w:val="Body Text Indent"/>
    <w:basedOn w:val="Normal"/>
    <w:rsid w:val="00CD0881"/>
    <w:pPr>
      <w:ind w:left="1440"/>
    </w:pPr>
    <w:rPr>
      <w:b/>
      <w:bCs/>
    </w:rPr>
  </w:style>
  <w:style w:type="paragraph" w:styleId="BalloonText">
    <w:name w:val="Balloon Text"/>
    <w:basedOn w:val="Normal"/>
    <w:link w:val="BalloonTextChar"/>
    <w:rsid w:val="00F221BA"/>
    <w:rPr>
      <w:rFonts w:ascii="Tahoma" w:hAnsi="Tahoma" w:cs="Tahoma"/>
      <w:sz w:val="16"/>
      <w:szCs w:val="16"/>
    </w:rPr>
  </w:style>
  <w:style w:type="character" w:customStyle="1" w:styleId="BalloonTextChar">
    <w:name w:val="Balloon Text Char"/>
    <w:basedOn w:val="DefaultParagraphFont"/>
    <w:link w:val="BalloonText"/>
    <w:rsid w:val="00F221BA"/>
    <w:rPr>
      <w:rFonts w:ascii="Tahoma" w:hAnsi="Tahoma" w:cs="Tahoma"/>
      <w:sz w:val="16"/>
      <w:szCs w:val="16"/>
    </w:rPr>
  </w:style>
  <w:style w:type="paragraph" w:styleId="ListParagraph">
    <w:name w:val="List Paragraph"/>
    <w:basedOn w:val="Normal"/>
    <w:uiPriority w:val="34"/>
    <w:qFormat/>
    <w:rsid w:val="000744DD"/>
    <w:pPr>
      <w:ind w:left="720"/>
      <w:contextualSpacing/>
    </w:pPr>
  </w:style>
  <w:style w:type="character" w:styleId="Hyperlink">
    <w:name w:val="Hyperlink"/>
    <w:basedOn w:val="DefaultParagraphFont"/>
    <w:rsid w:val="00AA11E2"/>
    <w:rPr>
      <w:color w:val="0000FF" w:themeColor="hyperlink"/>
      <w:u w:val="single"/>
    </w:rPr>
  </w:style>
  <w:style w:type="table" w:styleId="TableGrid">
    <w:name w:val="Table Grid"/>
    <w:basedOn w:val="TableNormal"/>
    <w:uiPriority w:val="59"/>
    <w:rsid w:val="00560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46E2A"/>
  </w:style>
  <w:style w:type="character" w:customStyle="1" w:styleId="FootnoteTextChar">
    <w:name w:val="Footnote Text Char"/>
    <w:basedOn w:val="DefaultParagraphFont"/>
    <w:link w:val="FootnoteText"/>
    <w:rsid w:val="00D46E2A"/>
  </w:style>
  <w:style w:type="character" w:styleId="FootnoteReference">
    <w:name w:val="footnote reference"/>
    <w:basedOn w:val="DefaultParagraphFont"/>
    <w:rsid w:val="00D46E2A"/>
    <w:rPr>
      <w:vertAlign w:val="superscript"/>
    </w:rPr>
  </w:style>
  <w:style w:type="character" w:styleId="CommentReference">
    <w:name w:val="annotation reference"/>
    <w:basedOn w:val="DefaultParagraphFont"/>
    <w:rsid w:val="004A6845"/>
    <w:rPr>
      <w:sz w:val="16"/>
      <w:szCs w:val="16"/>
    </w:rPr>
  </w:style>
  <w:style w:type="paragraph" w:styleId="CommentText">
    <w:name w:val="annotation text"/>
    <w:basedOn w:val="Normal"/>
    <w:link w:val="CommentTextChar"/>
    <w:rsid w:val="004A6845"/>
  </w:style>
  <w:style w:type="character" w:customStyle="1" w:styleId="CommentTextChar">
    <w:name w:val="Comment Text Char"/>
    <w:basedOn w:val="DefaultParagraphFont"/>
    <w:link w:val="CommentText"/>
    <w:rsid w:val="004A6845"/>
  </w:style>
  <w:style w:type="paragraph" w:styleId="CommentSubject">
    <w:name w:val="annotation subject"/>
    <w:basedOn w:val="CommentText"/>
    <w:next w:val="CommentText"/>
    <w:link w:val="CommentSubjectChar"/>
    <w:rsid w:val="004A6845"/>
    <w:rPr>
      <w:b/>
      <w:bCs/>
    </w:rPr>
  </w:style>
  <w:style w:type="character" w:customStyle="1" w:styleId="CommentSubjectChar">
    <w:name w:val="Comment Subject Char"/>
    <w:basedOn w:val="CommentTextChar"/>
    <w:link w:val="CommentSubject"/>
    <w:rsid w:val="004A68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881"/>
  </w:style>
  <w:style w:type="paragraph" w:styleId="Heading1">
    <w:name w:val="heading 1"/>
    <w:basedOn w:val="Normal"/>
    <w:next w:val="Normal"/>
    <w:qFormat/>
    <w:rsid w:val="00D01331"/>
    <w:pPr>
      <w:keepNext/>
      <w:outlineLvl w:val="0"/>
    </w:pPr>
    <w:rPr>
      <w:b/>
      <w:bCs/>
      <w:iCs/>
      <w:caps/>
    </w:rPr>
  </w:style>
  <w:style w:type="paragraph" w:styleId="Heading2">
    <w:name w:val="heading 2"/>
    <w:basedOn w:val="Normal"/>
    <w:next w:val="Normal"/>
    <w:qFormat/>
    <w:rsid w:val="00CD0881"/>
    <w:pPr>
      <w:keepNext/>
      <w:outlineLvl w:val="1"/>
    </w:pPr>
    <w:rPr>
      <w:b/>
      <w:bCs/>
    </w:rPr>
  </w:style>
  <w:style w:type="paragraph" w:styleId="Heading3">
    <w:name w:val="heading 3"/>
    <w:basedOn w:val="Normal"/>
    <w:next w:val="Normal"/>
    <w:qFormat/>
    <w:rsid w:val="00D01331"/>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CD0881"/>
    <w:pPr>
      <w:tabs>
        <w:tab w:val="left" w:pos="1080"/>
        <w:tab w:val="center" w:pos="4680"/>
        <w:tab w:val="left" w:pos="9000"/>
        <w:tab w:val="right" w:pos="9360"/>
      </w:tabs>
      <w:suppressAutoHyphens/>
    </w:pPr>
    <w:rPr>
      <w:spacing w:val="-3"/>
      <w:sz w:val="24"/>
    </w:rPr>
  </w:style>
  <w:style w:type="paragraph" w:customStyle="1" w:styleId="Para">
    <w:name w:val="Para"/>
    <w:basedOn w:val="Normal"/>
    <w:rsid w:val="00CD0881"/>
    <w:pPr>
      <w:tabs>
        <w:tab w:val="left" w:pos="1080"/>
        <w:tab w:val="center" w:pos="4680"/>
      </w:tabs>
      <w:suppressAutoHyphens/>
      <w:spacing w:before="120"/>
      <w:jc w:val="both"/>
    </w:pPr>
    <w:rPr>
      <w:spacing w:val="-3"/>
      <w:sz w:val="24"/>
    </w:rPr>
  </w:style>
  <w:style w:type="paragraph" w:styleId="Header">
    <w:name w:val="header"/>
    <w:basedOn w:val="Normal"/>
    <w:rsid w:val="00CD0881"/>
    <w:pPr>
      <w:tabs>
        <w:tab w:val="center" w:pos="4320"/>
        <w:tab w:val="right" w:pos="8640"/>
      </w:tabs>
    </w:pPr>
  </w:style>
  <w:style w:type="paragraph" w:styleId="Footer">
    <w:name w:val="footer"/>
    <w:basedOn w:val="Normal"/>
    <w:rsid w:val="00CD0881"/>
    <w:pPr>
      <w:tabs>
        <w:tab w:val="center" w:pos="4320"/>
        <w:tab w:val="right" w:pos="8640"/>
      </w:tabs>
    </w:pPr>
  </w:style>
  <w:style w:type="paragraph" w:styleId="BodyTextIndent">
    <w:name w:val="Body Text Indent"/>
    <w:basedOn w:val="Normal"/>
    <w:rsid w:val="00CD0881"/>
    <w:pPr>
      <w:ind w:left="1440"/>
    </w:pPr>
    <w:rPr>
      <w:b/>
      <w:bCs/>
    </w:rPr>
  </w:style>
  <w:style w:type="paragraph" w:styleId="BalloonText">
    <w:name w:val="Balloon Text"/>
    <w:basedOn w:val="Normal"/>
    <w:link w:val="BalloonTextChar"/>
    <w:rsid w:val="00F221BA"/>
    <w:rPr>
      <w:rFonts w:ascii="Tahoma" w:hAnsi="Tahoma" w:cs="Tahoma"/>
      <w:sz w:val="16"/>
      <w:szCs w:val="16"/>
    </w:rPr>
  </w:style>
  <w:style w:type="character" w:customStyle="1" w:styleId="BalloonTextChar">
    <w:name w:val="Balloon Text Char"/>
    <w:basedOn w:val="DefaultParagraphFont"/>
    <w:link w:val="BalloonText"/>
    <w:rsid w:val="00F221BA"/>
    <w:rPr>
      <w:rFonts w:ascii="Tahoma" w:hAnsi="Tahoma" w:cs="Tahoma"/>
      <w:sz w:val="16"/>
      <w:szCs w:val="16"/>
    </w:rPr>
  </w:style>
  <w:style w:type="paragraph" w:styleId="ListParagraph">
    <w:name w:val="List Paragraph"/>
    <w:basedOn w:val="Normal"/>
    <w:uiPriority w:val="34"/>
    <w:qFormat/>
    <w:rsid w:val="000744DD"/>
    <w:pPr>
      <w:ind w:left="720"/>
      <w:contextualSpacing/>
    </w:pPr>
  </w:style>
  <w:style w:type="character" w:styleId="Hyperlink">
    <w:name w:val="Hyperlink"/>
    <w:basedOn w:val="DefaultParagraphFont"/>
    <w:rsid w:val="00AA11E2"/>
    <w:rPr>
      <w:color w:val="0000FF" w:themeColor="hyperlink"/>
      <w:u w:val="single"/>
    </w:rPr>
  </w:style>
  <w:style w:type="table" w:styleId="TableGrid">
    <w:name w:val="Table Grid"/>
    <w:basedOn w:val="TableNormal"/>
    <w:uiPriority w:val="59"/>
    <w:rsid w:val="00560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46E2A"/>
  </w:style>
  <w:style w:type="character" w:customStyle="1" w:styleId="FootnoteTextChar">
    <w:name w:val="Footnote Text Char"/>
    <w:basedOn w:val="DefaultParagraphFont"/>
    <w:link w:val="FootnoteText"/>
    <w:rsid w:val="00D46E2A"/>
  </w:style>
  <w:style w:type="character" w:styleId="FootnoteReference">
    <w:name w:val="footnote reference"/>
    <w:basedOn w:val="DefaultParagraphFont"/>
    <w:rsid w:val="00D46E2A"/>
    <w:rPr>
      <w:vertAlign w:val="superscript"/>
    </w:rPr>
  </w:style>
  <w:style w:type="character" w:styleId="CommentReference">
    <w:name w:val="annotation reference"/>
    <w:basedOn w:val="DefaultParagraphFont"/>
    <w:rsid w:val="004A6845"/>
    <w:rPr>
      <w:sz w:val="16"/>
      <w:szCs w:val="16"/>
    </w:rPr>
  </w:style>
  <w:style w:type="paragraph" w:styleId="CommentText">
    <w:name w:val="annotation text"/>
    <w:basedOn w:val="Normal"/>
    <w:link w:val="CommentTextChar"/>
    <w:rsid w:val="004A6845"/>
  </w:style>
  <w:style w:type="character" w:customStyle="1" w:styleId="CommentTextChar">
    <w:name w:val="Comment Text Char"/>
    <w:basedOn w:val="DefaultParagraphFont"/>
    <w:link w:val="CommentText"/>
    <w:rsid w:val="004A6845"/>
  </w:style>
  <w:style w:type="paragraph" w:styleId="CommentSubject">
    <w:name w:val="annotation subject"/>
    <w:basedOn w:val="CommentText"/>
    <w:next w:val="CommentText"/>
    <w:link w:val="CommentSubjectChar"/>
    <w:rsid w:val="004A6845"/>
    <w:rPr>
      <w:b/>
      <w:bCs/>
    </w:rPr>
  </w:style>
  <w:style w:type="character" w:customStyle="1" w:styleId="CommentSubjectChar">
    <w:name w:val="Comment Subject Char"/>
    <w:basedOn w:val="CommentTextChar"/>
    <w:link w:val="CommentSubject"/>
    <w:rsid w:val="004A6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5394">
      <w:bodyDiv w:val="1"/>
      <w:marLeft w:val="0"/>
      <w:marRight w:val="0"/>
      <w:marTop w:val="0"/>
      <w:marBottom w:val="0"/>
      <w:divBdr>
        <w:top w:val="none" w:sz="0" w:space="0" w:color="auto"/>
        <w:left w:val="none" w:sz="0" w:space="0" w:color="auto"/>
        <w:bottom w:val="none" w:sz="0" w:space="0" w:color="auto"/>
        <w:right w:val="none" w:sz="0" w:space="0" w:color="auto"/>
      </w:divBdr>
    </w:div>
    <w:div w:id="1020398264">
      <w:bodyDiv w:val="1"/>
      <w:marLeft w:val="0"/>
      <w:marRight w:val="0"/>
      <w:marTop w:val="0"/>
      <w:marBottom w:val="0"/>
      <w:divBdr>
        <w:top w:val="none" w:sz="0" w:space="0" w:color="auto"/>
        <w:left w:val="none" w:sz="0" w:space="0" w:color="auto"/>
        <w:bottom w:val="none" w:sz="0" w:space="0" w:color="auto"/>
        <w:right w:val="none" w:sz="0" w:space="0" w:color="auto"/>
      </w:divBdr>
    </w:div>
    <w:div w:id="1112826397">
      <w:bodyDiv w:val="1"/>
      <w:marLeft w:val="0"/>
      <w:marRight w:val="0"/>
      <w:marTop w:val="0"/>
      <w:marBottom w:val="0"/>
      <w:divBdr>
        <w:top w:val="none" w:sz="0" w:space="0" w:color="auto"/>
        <w:left w:val="none" w:sz="0" w:space="0" w:color="auto"/>
        <w:bottom w:val="none" w:sz="0" w:space="0" w:color="auto"/>
        <w:right w:val="none" w:sz="0" w:space="0" w:color="auto"/>
      </w:divBdr>
    </w:div>
    <w:div w:id="1113786319">
      <w:bodyDiv w:val="1"/>
      <w:marLeft w:val="0"/>
      <w:marRight w:val="0"/>
      <w:marTop w:val="0"/>
      <w:marBottom w:val="0"/>
      <w:divBdr>
        <w:top w:val="none" w:sz="0" w:space="0" w:color="auto"/>
        <w:left w:val="none" w:sz="0" w:space="0" w:color="auto"/>
        <w:bottom w:val="none" w:sz="0" w:space="0" w:color="auto"/>
        <w:right w:val="none" w:sz="0" w:space="0" w:color="auto"/>
      </w:divBdr>
    </w:div>
    <w:div w:id="1163932057">
      <w:bodyDiv w:val="1"/>
      <w:marLeft w:val="0"/>
      <w:marRight w:val="0"/>
      <w:marTop w:val="0"/>
      <w:marBottom w:val="0"/>
      <w:divBdr>
        <w:top w:val="none" w:sz="0" w:space="0" w:color="auto"/>
        <w:left w:val="none" w:sz="0" w:space="0" w:color="auto"/>
        <w:bottom w:val="none" w:sz="0" w:space="0" w:color="auto"/>
        <w:right w:val="none" w:sz="0" w:space="0" w:color="auto"/>
      </w:divBdr>
    </w:div>
    <w:div w:id="1167400891">
      <w:bodyDiv w:val="1"/>
      <w:marLeft w:val="0"/>
      <w:marRight w:val="0"/>
      <w:marTop w:val="0"/>
      <w:marBottom w:val="0"/>
      <w:divBdr>
        <w:top w:val="none" w:sz="0" w:space="0" w:color="auto"/>
        <w:left w:val="none" w:sz="0" w:space="0" w:color="auto"/>
        <w:bottom w:val="none" w:sz="0" w:space="0" w:color="auto"/>
        <w:right w:val="none" w:sz="0" w:space="0" w:color="auto"/>
      </w:divBdr>
    </w:div>
    <w:div w:id="1214387247">
      <w:bodyDiv w:val="1"/>
      <w:marLeft w:val="0"/>
      <w:marRight w:val="0"/>
      <w:marTop w:val="0"/>
      <w:marBottom w:val="0"/>
      <w:divBdr>
        <w:top w:val="none" w:sz="0" w:space="0" w:color="auto"/>
        <w:left w:val="none" w:sz="0" w:space="0" w:color="auto"/>
        <w:bottom w:val="none" w:sz="0" w:space="0" w:color="auto"/>
        <w:right w:val="none" w:sz="0" w:space="0" w:color="auto"/>
      </w:divBdr>
    </w:div>
    <w:div w:id="1227568459">
      <w:bodyDiv w:val="1"/>
      <w:marLeft w:val="0"/>
      <w:marRight w:val="0"/>
      <w:marTop w:val="0"/>
      <w:marBottom w:val="0"/>
      <w:divBdr>
        <w:top w:val="none" w:sz="0" w:space="0" w:color="auto"/>
        <w:left w:val="none" w:sz="0" w:space="0" w:color="auto"/>
        <w:bottom w:val="none" w:sz="0" w:space="0" w:color="auto"/>
        <w:right w:val="none" w:sz="0" w:space="0" w:color="auto"/>
      </w:divBdr>
    </w:div>
    <w:div w:id="1610818481">
      <w:bodyDiv w:val="1"/>
      <w:marLeft w:val="0"/>
      <w:marRight w:val="0"/>
      <w:marTop w:val="0"/>
      <w:marBottom w:val="0"/>
      <w:divBdr>
        <w:top w:val="none" w:sz="0" w:space="0" w:color="auto"/>
        <w:left w:val="none" w:sz="0" w:space="0" w:color="auto"/>
        <w:bottom w:val="none" w:sz="0" w:space="0" w:color="auto"/>
        <w:right w:val="none" w:sz="0" w:space="0" w:color="auto"/>
      </w:divBdr>
    </w:div>
    <w:div w:id="1664697067">
      <w:bodyDiv w:val="1"/>
      <w:marLeft w:val="0"/>
      <w:marRight w:val="0"/>
      <w:marTop w:val="0"/>
      <w:marBottom w:val="0"/>
      <w:divBdr>
        <w:top w:val="none" w:sz="0" w:space="0" w:color="auto"/>
        <w:left w:val="none" w:sz="0" w:space="0" w:color="auto"/>
        <w:bottom w:val="none" w:sz="0" w:space="0" w:color="auto"/>
        <w:right w:val="none" w:sz="0" w:space="0" w:color="auto"/>
      </w:divBdr>
    </w:div>
    <w:div w:id="1690445992">
      <w:bodyDiv w:val="1"/>
      <w:marLeft w:val="0"/>
      <w:marRight w:val="0"/>
      <w:marTop w:val="0"/>
      <w:marBottom w:val="0"/>
      <w:divBdr>
        <w:top w:val="none" w:sz="0" w:space="0" w:color="auto"/>
        <w:left w:val="none" w:sz="0" w:space="0" w:color="auto"/>
        <w:bottom w:val="none" w:sz="0" w:space="0" w:color="auto"/>
        <w:right w:val="none" w:sz="0" w:space="0" w:color="auto"/>
      </w:divBdr>
    </w:div>
    <w:div w:id="1904750392">
      <w:bodyDiv w:val="1"/>
      <w:marLeft w:val="0"/>
      <w:marRight w:val="0"/>
      <w:marTop w:val="0"/>
      <w:marBottom w:val="0"/>
      <w:divBdr>
        <w:top w:val="none" w:sz="0" w:space="0" w:color="auto"/>
        <w:left w:val="none" w:sz="0" w:space="0" w:color="auto"/>
        <w:bottom w:val="none" w:sz="0" w:space="0" w:color="auto"/>
        <w:right w:val="none" w:sz="0" w:space="0" w:color="auto"/>
      </w:divBdr>
    </w:div>
    <w:div w:id="21392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H:\_Standard%20Forms\Current%20Forms\Correspondence\Memo%20Template%208.2016.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gprj\Projects\10118%20Yellow%20Jacket%20Water%20Storage%20Feasibility\Disciplines%20(Technical)\WRPM\Water%20Rights\YJWCD%20Call%20Spread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'Meeker Streamgage Data'!$C$5602:$C$5966</c:f>
              <c:numCache>
                <c:formatCode>m/d/yyyy</c:formatCode>
                <c:ptCount val="365"/>
                <c:pt idx="0">
                  <c:v>28126</c:v>
                </c:pt>
                <c:pt idx="1">
                  <c:v>28127</c:v>
                </c:pt>
                <c:pt idx="2">
                  <c:v>28128</c:v>
                </c:pt>
                <c:pt idx="3">
                  <c:v>28129</c:v>
                </c:pt>
                <c:pt idx="4">
                  <c:v>28130</c:v>
                </c:pt>
                <c:pt idx="5">
                  <c:v>28131</c:v>
                </c:pt>
                <c:pt idx="6">
                  <c:v>28132</c:v>
                </c:pt>
                <c:pt idx="7">
                  <c:v>28133</c:v>
                </c:pt>
                <c:pt idx="8">
                  <c:v>28134</c:v>
                </c:pt>
                <c:pt idx="9">
                  <c:v>28135</c:v>
                </c:pt>
                <c:pt idx="10">
                  <c:v>28136</c:v>
                </c:pt>
                <c:pt idx="11">
                  <c:v>28137</c:v>
                </c:pt>
                <c:pt idx="12">
                  <c:v>28138</c:v>
                </c:pt>
                <c:pt idx="13">
                  <c:v>28139</c:v>
                </c:pt>
                <c:pt idx="14">
                  <c:v>28140</c:v>
                </c:pt>
                <c:pt idx="15">
                  <c:v>28141</c:v>
                </c:pt>
                <c:pt idx="16">
                  <c:v>28142</c:v>
                </c:pt>
                <c:pt idx="17">
                  <c:v>28143</c:v>
                </c:pt>
                <c:pt idx="18">
                  <c:v>28144</c:v>
                </c:pt>
                <c:pt idx="19">
                  <c:v>28145</c:v>
                </c:pt>
                <c:pt idx="20">
                  <c:v>28146</c:v>
                </c:pt>
                <c:pt idx="21">
                  <c:v>28147</c:v>
                </c:pt>
                <c:pt idx="22">
                  <c:v>28148</c:v>
                </c:pt>
                <c:pt idx="23">
                  <c:v>28149</c:v>
                </c:pt>
                <c:pt idx="24">
                  <c:v>28150</c:v>
                </c:pt>
                <c:pt idx="25">
                  <c:v>28151</c:v>
                </c:pt>
                <c:pt idx="26">
                  <c:v>28152</c:v>
                </c:pt>
                <c:pt idx="27">
                  <c:v>28153</c:v>
                </c:pt>
                <c:pt idx="28">
                  <c:v>28154</c:v>
                </c:pt>
                <c:pt idx="29">
                  <c:v>28155</c:v>
                </c:pt>
                <c:pt idx="30">
                  <c:v>28156</c:v>
                </c:pt>
                <c:pt idx="31">
                  <c:v>28157</c:v>
                </c:pt>
                <c:pt idx="32">
                  <c:v>28158</c:v>
                </c:pt>
                <c:pt idx="33">
                  <c:v>28159</c:v>
                </c:pt>
                <c:pt idx="34">
                  <c:v>28160</c:v>
                </c:pt>
                <c:pt idx="35">
                  <c:v>28161</c:v>
                </c:pt>
                <c:pt idx="36">
                  <c:v>28162</c:v>
                </c:pt>
                <c:pt idx="37">
                  <c:v>28163</c:v>
                </c:pt>
                <c:pt idx="38">
                  <c:v>28164</c:v>
                </c:pt>
                <c:pt idx="39">
                  <c:v>28165</c:v>
                </c:pt>
                <c:pt idx="40">
                  <c:v>28166</c:v>
                </c:pt>
                <c:pt idx="41">
                  <c:v>28167</c:v>
                </c:pt>
                <c:pt idx="42">
                  <c:v>28168</c:v>
                </c:pt>
                <c:pt idx="43">
                  <c:v>28169</c:v>
                </c:pt>
                <c:pt idx="44">
                  <c:v>28170</c:v>
                </c:pt>
                <c:pt idx="45">
                  <c:v>28171</c:v>
                </c:pt>
                <c:pt idx="46">
                  <c:v>28172</c:v>
                </c:pt>
                <c:pt idx="47">
                  <c:v>28173</c:v>
                </c:pt>
                <c:pt idx="48">
                  <c:v>28174</c:v>
                </c:pt>
                <c:pt idx="49">
                  <c:v>28175</c:v>
                </c:pt>
                <c:pt idx="50">
                  <c:v>28176</c:v>
                </c:pt>
                <c:pt idx="51">
                  <c:v>28177</c:v>
                </c:pt>
                <c:pt idx="52">
                  <c:v>28178</c:v>
                </c:pt>
                <c:pt idx="53">
                  <c:v>28179</c:v>
                </c:pt>
                <c:pt idx="54">
                  <c:v>28180</c:v>
                </c:pt>
                <c:pt idx="55">
                  <c:v>28181</c:v>
                </c:pt>
                <c:pt idx="56">
                  <c:v>28182</c:v>
                </c:pt>
                <c:pt idx="57">
                  <c:v>28183</c:v>
                </c:pt>
                <c:pt idx="58">
                  <c:v>28184</c:v>
                </c:pt>
                <c:pt idx="59">
                  <c:v>28185</c:v>
                </c:pt>
                <c:pt idx="60">
                  <c:v>28186</c:v>
                </c:pt>
                <c:pt idx="61">
                  <c:v>28187</c:v>
                </c:pt>
                <c:pt idx="62">
                  <c:v>28188</c:v>
                </c:pt>
                <c:pt idx="63">
                  <c:v>28189</c:v>
                </c:pt>
                <c:pt idx="64">
                  <c:v>28190</c:v>
                </c:pt>
                <c:pt idx="65">
                  <c:v>28191</c:v>
                </c:pt>
                <c:pt idx="66">
                  <c:v>28192</c:v>
                </c:pt>
                <c:pt idx="67">
                  <c:v>28193</c:v>
                </c:pt>
                <c:pt idx="68">
                  <c:v>28194</c:v>
                </c:pt>
                <c:pt idx="69">
                  <c:v>28195</c:v>
                </c:pt>
                <c:pt idx="70">
                  <c:v>28196</c:v>
                </c:pt>
                <c:pt idx="71">
                  <c:v>28197</c:v>
                </c:pt>
                <c:pt idx="72">
                  <c:v>28198</c:v>
                </c:pt>
                <c:pt idx="73">
                  <c:v>28199</c:v>
                </c:pt>
                <c:pt idx="74">
                  <c:v>28200</c:v>
                </c:pt>
                <c:pt idx="75">
                  <c:v>28201</c:v>
                </c:pt>
                <c:pt idx="76">
                  <c:v>28202</c:v>
                </c:pt>
                <c:pt idx="77">
                  <c:v>28203</c:v>
                </c:pt>
                <c:pt idx="78">
                  <c:v>28204</c:v>
                </c:pt>
                <c:pt idx="79">
                  <c:v>28205</c:v>
                </c:pt>
                <c:pt idx="80">
                  <c:v>28206</c:v>
                </c:pt>
                <c:pt idx="81">
                  <c:v>28207</c:v>
                </c:pt>
                <c:pt idx="82">
                  <c:v>28208</c:v>
                </c:pt>
                <c:pt idx="83">
                  <c:v>28209</c:v>
                </c:pt>
                <c:pt idx="84">
                  <c:v>28210</c:v>
                </c:pt>
                <c:pt idx="85">
                  <c:v>28211</c:v>
                </c:pt>
                <c:pt idx="86">
                  <c:v>28212</c:v>
                </c:pt>
                <c:pt idx="87">
                  <c:v>28213</c:v>
                </c:pt>
                <c:pt idx="88">
                  <c:v>28214</c:v>
                </c:pt>
                <c:pt idx="89">
                  <c:v>28215</c:v>
                </c:pt>
                <c:pt idx="90">
                  <c:v>28216</c:v>
                </c:pt>
                <c:pt idx="91">
                  <c:v>28217</c:v>
                </c:pt>
                <c:pt idx="92">
                  <c:v>28218</c:v>
                </c:pt>
                <c:pt idx="93">
                  <c:v>28219</c:v>
                </c:pt>
                <c:pt idx="94">
                  <c:v>28220</c:v>
                </c:pt>
                <c:pt idx="95">
                  <c:v>28221</c:v>
                </c:pt>
                <c:pt idx="96">
                  <c:v>28222</c:v>
                </c:pt>
                <c:pt idx="97">
                  <c:v>28223</c:v>
                </c:pt>
                <c:pt idx="98">
                  <c:v>28224</c:v>
                </c:pt>
                <c:pt idx="99">
                  <c:v>28225</c:v>
                </c:pt>
                <c:pt idx="100">
                  <c:v>28226</c:v>
                </c:pt>
                <c:pt idx="101">
                  <c:v>28227</c:v>
                </c:pt>
                <c:pt idx="102">
                  <c:v>28228</c:v>
                </c:pt>
                <c:pt idx="103">
                  <c:v>28229</c:v>
                </c:pt>
                <c:pt idx="104">
                  <c:v>28230</c:v>
                </c:pt>
                <c:pt idx="105">
                  <c:v>28231</c:v>
                </c:pt>
                <c:pt idx="106">
                  <c:v>28232</c:v>
                </c:pt>
                <c:pt idx="107">
                  <c:v>28233</c:v>
                </c:pt>
                <c:pt idx="108">
                  <c:v>28234</c:v>
                </c:pt>
                <c:pt idx="109">
                  <c:v>28235</c:v>
                </c:pt>
                <c:pt idx="110">
                  <c:v>28236</c:v>
                </c:pt>
                <c:pt idx="111">
                  <c:v>28237</c:v>
                </c:pt>
                <c:pt idx="112">
                  <c:v>28238</c:v>
                </c:pt>
                <c:pt idx="113">
                  <c:v>28239</c:v>
                </c:pt>
                <c:pt idx="114">
                  <c:v>28240</c:v>
                </c:pt>
                <c:pt idx="115">
                  <c:v>28241</c:v>
                </c:pt>
                <c:pt idx="116">
                  <c:v>28242</c:v>
                </c:pt>
                <c:pt idx="117">
                  <c:v>28243</c:v>
                </c:pt>
                <c:pt idx="118">
                  <c:v>28244</c:v>
                </c:pt>
                <c:pt idx="119">
                  <c:v>28245</c:v>
                </c:pt>
                <c:pt idx="120">
                  <c:v>28246</c:v>
                </c:pt>
                <c:pt idx="121">
                  <c:v>28247</c:v>
                </c:pt>
                <c:pt idx="122">
                  <c:v>28248</c:v>
                </c:pt>
                <c:pt idx="123">
                  <c:v>28249</c:v>
                </c:pt>
                <c:pt idx="124">
                  <c:v>28250</c:v>
                </c:pt>
                <c:pt idx="125">
                  <c:v>28251</c:v>
                </c:pt>
                <c:pt idx="126">
                  <c:v>28252</c:v>
                </c:pt>
                <c:pt idx="127">
                  <c:v>28253</c:v>
                </c:pt>
                <c:pt idx="128">
                  <c:v>28254</c:v>
                </c:pt>
                <c:pt idx="129">
                  <c:v>28255</c:v>
                </c:pt>
                <c:pt idx="130">
                  <c:v>28256</c:v>
                </c:pt>
                <c:pt idx="131">
                  <c:v>28257</c:v>
                </c:pt>
                <c:pt idx="132">
                  <c:v>28258</c:v>
                </c:pt>
                <c:pt idx="133">
                  <c:v>28259</c:v>
                </c:pt>
                <c:pt idx="134">
                  <c:v>28260</c:v>
                </c:pt>
                <c:pt idx="135">
                  <c:v>28261</c:v>
                </c:pt>
                <c:pt idx="136">
                  <c:v>28262</c:v>
                </c:pt>
                <c:pt idx="137">
                  <c:v>28263</c:v>
                </c:pt>
                <c:pt idx="138">
                  <c:v>28264</c:v>
                </c:pt>
                <c:pt idx="139">
                  <c:v>28265</c:v>
                </c:pt>
                <c:pt idx="140">
                  <c:v>28266</c:v>
                </c:pt>
                <c:pt idx="141">
                  <c:v>28267</c:v>
                </c:pt>
                <c:pt idx="142">
                  <c:v>28268</c:v>
                </c:pt>
                <c:pt idx="143">
                  <c:v>28269</c:v>
                </c:pt>
                <c:pt idx="144">
                  <c:v>28270</c:v>
                </c:pt>
                <c:pt idx="145">
                  <c:v>28271</c:v>
                </c:pt>
                <c:pt idx="146">
                  <c:v>28272</c:v>
                </c:pt>
                <c:pt idx="147">
                  <c:v>28273</c:v>
                </c:pt>
                <c:pt idx="148">
                  <c:v>28274</c:v>
                </c:pt>
                <c:pt idx="149">
                  <c:v>28275</c:v>
                </c:pt>
                <c:pt idx="150">
                  <c:v>28276</c:v>
                </c:pt>
                <c:pt idx="151">
                  <c:v>28277</c:v>
                </c:pt>
                <c:pt idx="152">
                  <c:v>28278</c:v>
                </c:pt>
                <c:pt idx="153">
                  <c:v>28279</c:v>
                </c:pt>
                <c:pt idx="154">
                  <c:v>28280</c:v>
                </c:pt>
                <c:pt idx="155">
                  <c:v>28281</c:v>
                </c:pt>
                <c:pt idx="156">
                  <c:v>28282</c:v>
                </c:pt>
                <c:pt idx="157">
                  <c:v>28283</c:v>
                </c:pt>
                <c:pt idx="158">
                  <c:v>28284</c:v>
                </c:pt>
                <c:pt idx="159">
                  <c:v>28285</c:v>
                </c:pt>
                <c:pt idx="160">
                  <c:v>28286</c:v>
                </c:pt>
                <c:pt idx="161">
                  <c:v>28287</c:v>
                </c:pt>
                <c:pt idx="162">
                  <c:v>28288</c:v>
                </c:pt>
                <c:pt idx="163">
                  <c:v>28289</c:v>
                </c:pt>
                <c:pt idx="164">
                  <c:v>28290</c:v>
                </c:pt>
                <c:pt idx="165">
                  <c:v>28291</c:v>
                </c:pt>
                <c:pt idx="166">
                  <c:v>28292</c:v>
                </c:pt>
                <c:pt idx="167">
                  <c:v>28293</c:v>
                </c:pt>
                <c:pt idx="168">
                  <c:v>28294</c:v>
                </c:pt>
                <c:pt idx="169">
                  <c:v>28295</c:v>
                </c:pt>
                <c:pt idx="170">
                  <c:v>28296</c:v>
                </c:pt>
                <c:pt idx="171">
                  <c:v>28297</c:v>
                </c:pt>
                <c:pt idx="172">
                  <c:v>28298</c:v>
                </c:pt>
                <c:pt idx="173">
                  <c:v>28299</c:v>
                </c:pt>
                <c:pt idx="174">
                  <c:v>28300</c:v>
                </c:pt>
                <c:pt idx="175">
                  <c:v>28301</c:v>
                </c:pt>
                <c:pt idx="176">
                  <c:v>28302</c:v>
                </c:pt>
                <c:pt idx="177">
                  <c:v>28303</c:v>
                </c:pt>
                <c:pt idx="178">
                  <c:v>28304</c:v>
                </c:pt>
                <c:pt idx="179">
                  <c:v>28305</c:v>
                </c:pt>
                <c:pt idx="180">
                  <c:v>28306</c:v>
                </c:pt>
                <c:pt idx="181">
                  <c:v>28307</c:v>
                </c:pt>
                <c:pt idx="182">
                  <c:v>28308</c:v>
                </c:pt>
                <c:pt idx="183">
                  <c:v>28309</c:v>
                </c:pt>
                <c:pt idx="184">
                  <c:v>28310</c:v>
                </c:pt>
                <c:pt idx="185">
                  <c:v>28311</c:v>
                </c:pt>
                <c:pt idx="186">
                  <c:v>28312</c:v>
                </c:pt>
                <c:pt idx="187">
                  <c:v>28313</c:v>
                </c:pt>
                <c:pt idx="188">
                  <c:v>28314</c:v>
                </c:pt>
                <c:pt idx="189">
                  <c:v>28315</c:v>
                </c:pt>
                <c:pt idx="190">
                  <c:v>28316</c:v>
                </c:pt>
                <c:pt idx="191">
                  <c:v>28317</c:v>
                </c:pt>
                <c:pt idx="192">
                  <c:v>28318</c:v>
                </c:pt>
                <c:pt idx="193">
                  <c:v>28319</c:v>
                </c:pt>
                <c:pt idx="194">
                  <c:v>28320</c:v>
                </c:pt>
                <c:pt idx="195">
                  <c:v>28321</c:v>
                </c:pt>
                <c:pt idx="196">
                  <c:v>28322</c:v>
                </c:pt>
                <c:pt idx="197">
                  <c:v>28323</c:v>
                </c:pt>
                <c:pt idx="198">
                  <c:v>28324</c:v>
                </c:pt>
                <c:pt idx="199">
                  <c:v>28325</c:v>
                </c:pt>
                <c:pt idx="200">
                  <c:v>28326</c:v>
                </c:pt>
                <c:pt idx="201">
                  <c:v>28327</c:v>
                </c:pt>
                <c:pt idx="202">
                  <c:v>28328</c:v>
                </c:pt>
                <c:pt idx="203">
                  <c:v>28329</c:v>
                </c:pt>
                <c:pt idx="204">
                  <c:v>28330</c:v>
                </c:pt>
                <c:pt idx="205">
                  <c:v>28331</c:v>
                </c:pt>
                <c:pt idx="206">
                  <c:v>28332</c:v>
                </c:pt>
                <c:pt idx="207">
                  <c:v>28333</c:v>
                </c:pt>
                <c:pt idx="208">
                  <c:v>28334</c:v>
                </c:pt>
                <c:pt idx="209">
                  <c:v>28335</c:v>
                </c:pt>
                <c:pt idx="210">
                  <c:v>28336</c:v>
                </c:pt>
                <c:pt idx="211">
                  <c:v>28337</c:v>
                </c:pt>
                <c:pt idx="212">
                  <c:v>28338</c:v>
                </c:pt>
                <c:pt idx="213">
                  <c:v>28339</c:v>
                </c:pt>
                <c:pt idx="214">
                  <c:v>28340</c:v>
                </c:pt>
                <c:pt idx="215">
                  <c:v>28341</c:v>
                </c:pt>
                <c:pt idx="216">
                  <c:v>28342</c:v>
                </c:pt>
                <c:pt idx="217">
                  <c:v>28343</c:v>
                </c:pt>
                <c:pt idx="218">
                  <c:v>28344</c:v>
                </c:pt>
                <c:pt idx="219">
                  <c:v>28345</c:v>
                </c:pt>
                <c:pt idx="220">
                  <c:v>28346</c:v>
                </c:pt>
                <c:pt idx="221">
                  <c:v>28347</c:v>
                </c:pt>
                <c:pt idx="222">
                  <c:v>28348</c:v>
                </c:pt>
                <c:pt idx="223">
                  <c:v>28349</c:v>
                </c:pt>
                <c:pt idx="224">
                  <c:v>28350</c:v>
                </c:pt>
                <c:pt idx="225">
                  <c:v>28351</c:v>
                </c:pt>
                <c:pt idx="226">
                  <c:v>28352</c:v>
                </c:pt>
                <c:pt idx="227">
                  <c:v>28353</c:v>
                </c:pt>
                <c:pt idx="228">
                  <c:v>28354</c:v>
                </c:pt>
                <c:pt idx="229">
                  <c:v>28355</c:v>
                </c:pt>
                <c:pt idx="230">
                  <c:v>28356</c:v>
                </c:pt>
                <c:pt idx="231">
                  <c:v>28357</c:v>
                </c:pt>
                <c:pt idx="232">
                  <c:v>28358</c:v>
                </c:pt>
                <c:pt idx="233">
                  <c:v>28359</c:v>
                </c:pt>
                <c:pt idx="234">
                  <c:v>28360</c:v>
                </c:pt>
                <c:pt idx="235">
                  <c:v>28361</c:v>
                </c:pt>
                <c:pt idx="236">
                  <c:v>28362</c:v>
                </c:pt>
                <c:pt idx="237">
                  <c:v>28363</c:v>
                </c:pt>
                <c:pt idx="238">
                  <c:v>28364</c:v>
                </c:pt>
                <c:pt idx="239">
                  <c:v>28365</c:v>
                </c:pt>
                <c:pt idx="240">
                  <c:v>28366</c:v>
                </c:pt>
                <c:pt idx="241">
                  <c:v>28367</c:v>
                </c:pt>
                <c:pt idx="242">
                  <c:v>28368</c:v>
                </c:pt>
                <c:pt idx="243">
                  <c:v>28369</c:v>
                </c:pt>
                <c:pt idx="244">
                  <c:v>28370</c:v>
                </c:pt>
                <c:pt idx="245">
                  <c:v>28371</c:v>
                </c:pt>
                <c:pt idx="246">
                  <c:v>28372</c:v>
                </c:pt>
                <c:pt idx="247">
                  <c:v>28373</c:v>
                </c:pt>
                <c:pt idx="248">
                  <c:v>28374</c:v>
                </c:pt>
                <c:pt idx="249">
                  <c:v>28375</c:v>
                </c:pt>
                <c:pt idx="250">
                  <c:v>28376</c:v>
                </c:pt>
                <c:pt idx="251">
                  <c:v>28377</c:v>
                </c:pt>
                <c:pt idx="252">
                  <c:v>28378</c:v>
                </c:pt>
                <c:pt idx="253">
                  <c:v>28379</c:v>
                </c:pt>
                <c:pt idx="254">
                  <c:v>28380</c:v>
                </c:pt>
                <c:pt idx="255">
                  <c:v>28381</c:v>
                </c:pt>
                <c:pt idx="256">
                  <c:v>28382</c:v>
                </c:pt>
                <c:pt idx="257">
                  <c:v>28383</c:v>
                </c:pt>
                <c:pt idx="258">
                  <c:v>28384</c:v>
                </c:pt>
                <c:pt idx="259">
                  <c:v>28385</c:v>
                </c:pt>
                <c:pt idx="260">
                  <c:v>28386</c:v>
                </c:pt>
                <c:pt idx="261">
                  <c:v>28387</c:v>
                </c:pt>
                <c:pt idx="262">
                  <c:v>28388</c:v>
                </c:pt>
                <c:pt idx="263">
                  <c:v>28389</c:v>
                </c:pt>
                <c:pt idx="264">
                  <c:v>28390</c:v>
                </c:pt>
                <c:pt idx="265">
                  <c:v>28391</c:v>
                </c:pt>
                <c:pt idx="266">
                  <c:v>28392</c:v>
                </c:pt>
                <c:pt idx="267">
                  <c:v>28393</c:v>
                </c:pt>
                <c:pt idx="268">
                  <c:v>28394</c:v>
                </c:pt>
                <c:pt idx="269">
                  <c:v>28395</c:v>
                </c:pt>
                <c:pt idx="270">
                  <c:v>28396</c:v>
                </c:pt>
                <c:pt idx="271">
                  <c:v>28397</c:v>
                </c:pt>
                <c:pt idx="272">
                  <c:v>28398</c:v>
                </c:pt>
                <c:pt idx="273">
                  <c:v>28399</c:v>
                </c:pt>
                <c:pt idx="274">
                  <c:v>28400</c:v>
                </c:pt>
                <c:pt idx="275">
                  <c:v>28401</c:v>
                </c:pt>
                <c:pt idx="276">
                  <c:v>28402</c:v>
                </c:pt>
                <c:pt idx="277">
                  <c:v>28403</c:v>
                </c:pt>
                <c:pt idx="278">
                  <c:v>28404</c:v>
                </c:pt>
                <c:pt idx="279">
                  <c:v>28405</c:v>
                </c:pt>
                <c:pt idx="280">
                  <c:v>28406</c:v>
                </c:pt>
                <c:pt idx="281">
                  <c:v>28407</c:v>
                </c:pt>
                <c:pt idx="282">
                  <c:v>28408</c:v>
                </c:pt>
                <c:pt idx="283">
                  <c:v>28409</c:v>
                </c:pt>
                <c:pt idx="284">
                  <c:v>28410</c:v>
                </c:pt>
                <c:pt idx="285">
                  <c:v>28411</c:v>
                </c:pt>
                <c:pt idx="286">
                  <c:v>28412</c:v>
                </c:pt>
                <c:pt idx="287">
                  <c:v>28413</c:v>
                </c:pt>
                <c:pt idx="288">
                  <c:v>28414</c:v>
                </c:pt>
                <c:pt idx="289">
                  <c:v>28415</c:v>
                </c:pt>
                <c:pt idx="290">
                  <c:v>28416</c:v>
                </c:pt>
                <c:pt idx="291">
                  <c:v>28417</c:v>
                </c:pt>
                <c:pt idx="292">
                  <c:v>28418</c:v>
                </c:pt>
                <c:pt idx="293">
                  <c:v>28419</c:v>
                </c:pt>
                <c:pt idx="294">
                  <c:v>28420</c:v>
                </c:pt>
                <c:pt idx="295">
                  <c:v>28421</c:v>
                </c:pt>
                <c:pt idx="296">
                  <c:v>28422</c:v>
                </c:pt>
                <c:pt idx="297">
                  <c:v>28423</c:v>
                </c:pt>
                <c:pt idx="298">
                  <c:v>28424</c:v>
                </c:pt>
                <c:pt idx="299">
                  <c:v>28425</c:v>
                </c:pt>
                <c:pt idx="300">
                  <c:v>28426</c:v>
                </c:pt>
                <c:pt idx="301">
                  <c:v>28427</c:v>
                </c:pt>
                <c:pt idx="302">
                  <c:v>28428</c:v>
                </c:pt>
                <c:pt idx="303">
                  <c:v>28429</c:v>
                </c:pt>
                <c:pt idx="304">
                  <c:v>28430</c:v>
                </c:pt>
                <c:pt idx="305">
                  <c:v>28431</c:v>
                </c:pt>
                <c:pt idx="306">
                  <c:v>28432</c:v>
                </c:pt>
                <c:pt idx="307">
                  <c:v>28433</c:v>
                </c:pt>
                <c:pt idx="308">
                  <c:v>28434</c:v>
                </c:pt>
                <c:pt idx="309">
                  <c:v>28435</c:v>
                </c:pt>
                <c:pt idx="310">
                  <c:v>28436</c:v>
                </c:pt>
                <c:pt idx="311">
                  <c:v>28437</c:v>
                </c:pt>
                <c:pt idx="312">
                  <c:v>28438</c:v>
                </c:pt>
                <c:pt idx="313">
                  <c:v>28439</c:v>
                </c:pt>
                <c:pt idx="314">
                  <c:v>28440</c:v>
                </c:pt>
                <c:pt idx="315">
                  <c:v>28441</c:v>
                </c:pt>
                <c:pt idx="316">
                  <c:v>28442</c:v>
                </c:pt>
                <c:pt idx="317">
                  <c:v>28443</c:v>
                </c:pt>
                <c:pt idx="318">
                  <c:v>28444</c:v>
                </c:pt>
                <c:pt idx="319">
                  <c:v>28445</c:v>
                </c:pt>
                <c:pt idx="320">
                  <c:v>28446</c:v>
                </c:pt>
                <c:pt idx="321">
                  <c:v>28447</c:v>
                </c:pt>
                <c:pt idx="322">
                  <c:v>28448</c:v>
                </c:pt>
                <c:pt idx="323">
                  <c:v>28449</c:v>
                </c:pt>
                <c:pt idx="324">
                  <c:v>28450</c:v>
                </c:pt>
                <c:pt idx="325">
                  <c:v>28451</c:v>
                </c:pt>
                <c:pt idx="326">
                  <c:v>28452</c:v>
                </c:pt>
                <c:pt idx="327">
                  <c:v>28453</c:v>
                </c:pt>
                <c:pt idx="328">
                  <c:v>28454</c:v>
                </c:pt>
                <c:pt idx="329">
                  <c:v>28455</c:v>
                </c:pt>
                <c:pt idx="330">
                  <c:v>28456</c:v>
                </c:pt>
                <c:pt idx="331">
                  <c:v>28457</c:v>
                </c:pt>
                <c:pt idx="332">
                  <c:v>28458</c:v>
                </c:pt>
                <c:pt idx="333">
                  <c:v>28459</c:v>
                </c:pt>
                <c:pt idx="334">
                  <c:v>28460</c:v>
                </c:pt>
                <c:pt idx="335">
                  <c:v>28461</c:v>
                </c:pt>
                <c:pt idx="336">
                  <c:v>28462</c:v>
                </c:pt>
                <c:pt idx="337">
                  <c:v>28463</c:v>
                </c:pt>
                <c:pt idx="338">
                  <c:v>28464</c:v>
                </c:pt>
                <c:pt idx="339">
                  <c:v>28465</c:v>
                </c:pt>
                <c:pt idx="340">
                  <c:v>28466</c:v>
                </c:pt>
                <c:pt idx="341">
                  <c:v>28467</c:v>
                </c:pt>
                <c:pt idx="342">
                  <c:v>28468</c:v>
                </c:pt>
                <c:pt idx="343">
                  <c:v>28469</c:v>
                </c:pt>
                <c:pt idx="344">
                  <c:v>28470</c:v>
                </c:pt>
                <c:pt idx="345">
                  <c:v>28471</c:v>
                </c:pt>
                <c:pt idx="346">
                  <c:v>28472</c:v>
                </c:pt>
                <c:pt idx="347">
                  <c:v>28473</c:v>
                </c:pt>
                <c:pt idx="348">
                  <c:v>28474</c:v>
                </c:pt>
                <c:pt idx="349">
                  <c:v>28475</c:v>
                </c:pt>
                <c:pt idx="350">
                  <c:v>28476</c:v>
                </c:pt>
                <c:pt idx="351">
                  <c:v>28477</c:v>
                </c:pt>
                <c:pt idx="352">
                  <c:v>28478</c:v>
                </c:pt>
                <c:pt idx="353">
                  <c:v>28479</c:v>
                </c:pt>
                <c:pt idx="354">
                  <c:v>28480</c:v>
                </c:pt>
                <c:pt idx="355">
                  <c:v>28481</c:v>
                </c:pt>
                <c:pt idx="356">
                  <c:v>28482</c:v>
                </c:pt>
                <c:pt idx="357">
                  <c:v>28483</c:v>
                </c:pt>
                <c:pt idx="358">
                  <c:v>28484</c:v>
                </c:pt>
                <c:pt idx="359">
                  <c:v>28485</c:v>
                </c:pt>
                <c:pt idx="360">
                  <c:v>28486</c:v>
                </c:pt>
                <c:pt idx="361">
                  <c:v>28487</c:v>
                </c:pt>
                <c:pt idx="362">
                  <c:v>28488</c:v>
                </c:pt>
                <c:pt idx="363">
                  <c:v>28489</c:v>
                </c:pt>
                <c:pt idx="364">
                  <c:v>28490</c:v>
                </c:pt>
              </c:numCache>
            </c:numRef>
          </c:cat>
          <c:val>
            <c:numRef>
              <c:f>'Meeker Streamgage Data'!$D$5602:$D$5966</c:f>
              <c:numCache>
                <c:formatCode>General</c:formatCode>
                <c:ptCount val="365"/>
                <c:pt idx="0">
                  <c:v>180</c:v>
                </c:pt>
                <c:pt idx="1">
                  <c:v>180</c:v>
                </c:pt>
                <c:pt idx="2">
                  <c:v>180</c:v>
                </c:pt>
                <c:pt idx="3">
                  <c:v>180</c:v>
                </c:pt>
                <c:pt idx="4">
                  <c:v>170</c:v>
                </c:pt>
                <c:pt idx="5">
                  <c:v>160</c:v>
                </c:pt>
                <c:pt idx="6">
                  <c:v>160</c:v>
                </c:pt>
                <c:pt idx="7">
                  <c:v>155</c:v>
                </c:pt>
                <c:pt idx="8">
                  <c:v>155</c:v>
                </c:pt>
                <c:pt idx="9">
                  <c:v>160</c:v>
                </c:pt>
                <c:pt idx="10">
                  <c:v>180</c:v>
                </c:pt>
                <c:pt idx="11">
                  <c:v>190</c:v>
                </c:pt>
                <c:pt idx="12">
                  <c:v>210</c:v>
                </c:pt>
                <c:pt idx="13">
                  <c:v>230</c:v>
                </c:pt>
                <c:pt idx="14">
                  <c:v>250</c:v>
                </c:pt>
                <c:pt idx="15">
                  <c:v>270</c:v>
                </c:pt>
                <c:pt idx="16">
                  <c:v>255</c:v>
                </c:pt>
                <c:pt idx="17">
                  <c:v>230</c:v>
                </c:pt>
                <c:pt idx="18">
                  <c:v>210</c:v>
                </c:pt>
                <c:pt idx="19">
                  <c:v>190</c:v>
                </c:pt>
                <c:pt idx="20">
                  <c:v>170</c:v>
                </c:pt>
                <c:pt idx="21">
                  <c:v>165</c:v>
                </c:pt>
                <c:pt idx="22">
                  <c:v>150</c:v>
                </c:pt>
                <c:pt idx="23">
                  <c:v>150</c:v>
                </c:pt>
                <c:pt idx="24">
                  <c:v>150</c:v>
                </c:pt>
                <c:pt idx="25">
                  <c:v>160</c:v>
                </c:pt>
                <c:pt idx="26">
                  <c:v>160</c:v>
                </c:pt>
                <c:pt idx="27">
                  <c:v>150</c:v>
                </c:pt>
                <c:pt idx="28">
                  <c:v>150</c:v>
                </c:pt>
                <c:pt idx="29">
                  <c:v>150</c:v>
                </c:pt>
                <c:pt idx="30">
                  <c:v>170</c:v>
                </c:pt>
                <c:pt idx="31">
                  <c:v>160</c:v>
                </c:pt>
                <c:pt idx="32">
                  <c:v>150</c:v>
                </c:pt>
                <c:pt idx="33">
                  <c:v>150</c:v>
                </c:pt>
                <c:pt idx="34">
                  <c:v>150</c:v>
                </c:pt>
                <c:pt idx="35">
                  <c:v>150</c:v>
                </c:pt>
                <c:pt idx="36">
                  <c:v>155</c:v>
                </c:pt>
                <c:pt idx="37">
                  <c:v>158</c:v>
                </c:pt>
                <c:pt idx="38">
                  <c:v>168</c:v>
                </c:pt>
                <c:pt idx="39">
                  <c:v>190</c:v>
                </c:pt>
                <c:pt idx="40">
                  <c:v>210</c:v>
                </c:pt>
                <c:pt idx="41">
                  <c:v>227</c:v>
                </c:pt>
                <c:pt idx="42">
                  <c:v>230</c:v>
                </c:pt>
                <c:pt idx="43">
                  <c:v>254</c:v>
                </c:pt>
                <c:pt idx="44">
                  <c:v>257</c:v>
                </c:pt>
                <c:pt idx="45">
                  <c:v>240</c:v>
                </c:pt>
                <c:pt idx="46">
                  <c:v>254</c:v>
                </c:pt>
                <c:pt idx="47">
                  <c:v>257</c:v>
                </c:pt>
                <c:pt idx="48">
                  <c:v>254</c:v>
                </c:pt>
                <c:pt idx="49">
                  <c:v>250</c:v>
                </c:pt>
                <c:pt idx="50">
                  <c:v>250</c:v>
                </c:pt>
                <c:pt idx="51">
                  <c:v>250</c:v>
                </c:pt>
                <c:pt idx="52">
                  <c:v>261</c:v>
                </c:pt>
                <c:pt idx="53">
                  <c:v>250</c:v>
                </c:pt>
                <c:pt idx="54">
                  <c:v>257</c:v>
                </c:pt>
                <c:pt idx="55">
                  <c:v>244</c:v>
                </c:pt>
                <c:pt idx="56">
                  <c:v>230</c:v>
                </c:pt>
                <c:pt idx="57">
                  <c:v>254</c:v>
                </c:pt>
                <c:pt idx="58">
                  <c:v>254</c:v>
                </c:pt>
                <c:pt idx="59">
                  <c:v>254</c:v>
                </c:pt>
                <c:pt idx="60">
                  <c:v>261</c:v>
                </c:pt>
                <c:pt idx="61">
                  <c:v>250</c:v>
                </c:pt>
                <c:pt idx="62">
                  <c:v>233</c:v>
                </c:pt>
                <c:pt idx="63">
                  <c:v>227</c:v>
                </c:pt>
                <c:pt idx="64">
                  <c:v>220</c:v>
                </c:pt>
                <c:pt idx="65">
                  <c:v>215</c:v>
                </c:pt>
                <c:pt idx="66">
                  <c:v>210</c:v>
                </c:pt>
                <c:pt idx="67">
                  <c:v>200</c:v>
                </c:pt>
                <c:pt idx="68">
                  <c:v>190</c:v>
                </c:pt>
                <c:pt idx="69">
                  <c:v>185</c:v>
                </c:pt>
                <c:pt idx="70">
                  <c:v>180</c:v>
                </c:pt>
                <c:pt idx="71">
                  <c:v>180</c:v>
                </c:pt>
                <c:pt idx="72">
                  <c:v>185</c:v>
                </c:pt>
                <c:pt idx="73">
                  <c:v>185</c:v>
                </c:pt>
                <c:pt idx="74">
                  <c:v>237</c:v>
                </c:pt>
                <c:pt idx="75">
                  <c:v>247</c:v>
                </c:pt>
                <c:pt idx="76">
                  <c:v>237</c:v>
                </c:pt>
                <c:pt idx="77">
                  <c:v>233</c:v>
                </c:pt>
                <c:pt idx="78">
                  <c:v>237</c:v>
                </c:pt>
                <c:pt idx="79">
                  <c:v>223</c:v>
                </c:pt>
                <c:pt idx="80">
                  <c:v>227</c:v>
                </c:pt>
                <c:pt idx="81">
                  <c:v>244</c:v>
                </c:pt>
                <c:pt idx="82">
                  <c:v>254</c:v>
                </c:pt>
                <c:pt idx="83">
                  <c:v>250</c:v>
                </c:pt>
                <c:pt idx="84">
                  <c:v>247</c:v>
                </c:pt>
                <c:pt idx="85">
                  <c:v>244</c:v>
                </c:pt>
                <c:pt idx="86">
                  <c:v>250</c:v>
                </c:pt>
                <c:pt idx="87">
                  <c:v>220</c:v>
                </c:pt>
                <c:pt idx="88">
                  <c:v>227</c:v>
                </c:pt>
                <c:pt idx="89">
                  <c:v>220</c:v>
                </c:pt>
                <c:pt idx="90">
                  <c:v>227</c:v>
                </c:pt>
                <c:pt idx="91">
                  <c:v>196</c:v>
                </c:pt>
                <c:pt idx="92">
                  <c:v>213</c:v>
                </c:pt>
                <c:pt idx="93">
                  <c:v>210</c:v>
                </c:pt>
                <c:pt idx="94">
                  <c:v>213</c:v>
                </c:pt>
                <c:pt idx="95">
                  <c:v>220</c:v>
                </c:pt>
                <c:pt idx="96">
                  <c:v>237</c:v>
                </c:pt>
                <c:pt idx="97">
                  <c:v>280</c:v>
                </c:pt>
                <c:pt idx="98">
                  <c:v>362</c:v>
                </c:pt>
                <c:pt idx="99">
                  <c:v>390</c:v>
                </c:pt>
                <c:pt idx="100">
                  <c:v>390</c:v>
                </c:pt>
                <c:pt idx="101">
                  <c:v>376</c:v>
                </c:pt>
                <c:pt idx="102">
                  <c:v>328</c:v>
                </c:pt>
                <c:pt idx="103">
                  <c:v>309</c:v>
                </c:pt>
                <c:pt idx="104">
                  <c:v>328</c:v>
                </c:pt>
                <c:pt idx="105">
                  <c:v>318</c:v>
                </c:pt>
                <c:pt idx="106">
                  <c:v>381</c:v>
                </c:pt>
                <c:pt idx="107">
                  <c:v>444</c:v>
                </c:pt>
                <c:pt idx="108">
                  <c:v>450</c:v>
                </c:pt>
                <c:pt idx="109">
                  <c:v>376</c:v>
                </c:pt>
                <c:pt idx="110">
                  <c:v>357</c:v>
                </c:pt>
                <c:pt idx="111">
                  <c:v>428</c:v>
                </c:pt>
                <c:pt idx="112">
                  <c:v>480</c:v>
                </c:pt>
                <c:pt idx="113">
                  <c:v>510</c:v>
                </c:pt>
                <c:pt idx="114">
                  <c:v>550</c:v>
                </c:pt>
                <c:pt idx="115">
                  <c:v>530</c:v>
                </c:pt>
                <c:pt idx="116">
                  <c:v>545</c:v>
                </c:pt>
                <c:pt idx="117">
                  <c:v>540</c:v>
                </c:pt>
                <c:pt idx="118">
                  <c:v>490</c:v>
                </c:pt>
                <c:pt idx="119">
                  <c:v>525</c:v>
                </c:pt>
                <c:pt idx="120">
                  <c:v>556</c:v>
                </c:pt>
                <c:pt idx="121">
                  <c:v>475</c:v>
                </c:pt>
                <c:pt idx="122">
                  <c:v>550</c:v>
                </c:pt>
                <c:pt idx="123">
                  <c:v>475</c:v>
                </c:pt>
                <c:pt idx="124">
                  <c:v>376</c:v>
                </c:pt>
                <c:pt idx="125">
                  <c:v>400</c:v>
                </c:pt>
                <c:pt idx="126">
                  <c:v>470</c:v>
                </c:pt>
                <c:pt idx="127">
                  <c:v>580</c:v>
                </c:pt>
                <c:pt idx="128">
                  <c:v>705</c:v>
                </c:pt>
                <c:pt idx="129">
                  <c:v>705</c:v>
                </c:pt>
                <c:pt idx="130">
                  <c:v>475</c:v>
                </c:pt>
                <c:pt idx="131">
                  <c:v>422</c:v>
                </c:pt>
                <c:pt idx="132">
                  <c:v>366</c:v>
                </c:pt>
                <c:pt idx="133">
                  <c:v>470</c:v>
                </c:pt>
                <c:pt idx="134">
                  <c:v>416</c:v>
                </c:pt>
                <c:pt idx="135">
                  <c:v>416</c:v>
                </c:pt>
                <c:pt idx="136">
                  <c:v>450</c:v>
                </c:pt>
                <c:pt idx="137">
                  <c:v>390</c:v>
                </c:pt>
                <c:pt idx="138">
                  <c:v>333</c:v>
                </c:pt>
                <c:pt idx="139">
                  <c:v>292</c:v>
                </c:pt>
                <c:pt idx="140">
                  <c:v>257</c:v>
                </c:pt>
                <c:pt idx="141">
                  <c:v>220</c:v>
                </c:pt>
                <c:pt idx="142">
                  <c:v>240</c:v>
                </c:pt>
                <c:pt idx="143">
                  <c:v>280</c:v>
                </c:pt>
                <c:pt idx="144">
                  <c:v>333</c:v>
                </c:pt>
                <c:pt idx="145">
                  <c:v>296</c:v>
                </c:pt>
                <c:pt idx="146">
                  <c:v>257</c:v>
                </c:pt>
                <c:pt idx="147">
                  <c:v>240</c:v>
                </c:pt>
                <c:pt idx="148">
                  <c:v>240</c:v>
                </c:pt>
                <c:pt idx="149">
                  <c:v>240</c:v>
                </c:pt>
                <c:pt idx="150">
                  <c:v>371</c:v>
                </c:pt>
                <c:pt idx="151">
                  <c:v>535</c:v>
                </c:pt>
                <c:pt idx="152">
                  <c:v>525</c:v>
                </c:pt>
                <c:pt idx="153">
                  <c:v>525</c:v>
                </c:pt>
                <c:pt idx="154">
                  <c:v>515</c:v>
                </c:pt>
                <c:pt idx="155">
                  <c:v>470</c:v>
                </c:pt>
                <c:pt idx="156">
                  <c:v>433</c:v>
                </c:pt>
                <c:pt idx="157">
                  <c:v>371</c:v>
                </c:pt>
                <c:pt idx="158">
                  <c:v>309</c:v>
                </c:pt>
                <c:pt idx="159">
                  <c:v>292</c:v>
                </c:pt>
                <c:pt idx="160">
                  <c:v>261</c:v>
                </c:pt>
                <c:pt idx="161">
                  <c:v>230</c:v>
                </c:pt>
                <c:pt idx="162">
                  <c:v>210</c:v>
                </c:pt>
                <c:pt idx="163">
                  <c:v>180</c:v>
                </c:pt>
                <c:pt idx="164">
                  <c:v>180</c:v>
                </c:pt>
                <c:pt idx="165">
                  <c:v>180</c:v>
                </c:pt>
                <c:pt idx="166">
                  <c:v>190</c:v>
                </c:pt>
                <c:pt idx="167">
                  <c:v>110</c:v>
                </c:pt>
                <c:pt idx="168">
                  <c:v>70</c:v>
                </c:pt>
                <c:pt idx="169">
                  <c:v>45</c:v>
                </c:pt>
                <c:pt idx="170">
                  <c:v>28</c:v>
                </c:pt>
                <c:pt idx="171">
                  <c:v>20</c:v>
                </c:pt>
                <c:pt idx="172">
                  <c:v>16</c:v>
                </c:pt>
                <c:pt idx="173">
                  <c:v>15</c:v>
                </c:pt>
                <c:pt idx="174">
                  <c:v>16</c:v>
                </c:pt>
                <c:pt idx="175">
                  <c:v>17</c:v>
                </c:pt>
                <c:pt idx="176">
                  <c:v>18</c:v>
                </c:pt>
                <c:pt idx="177">
                  <c:v>20</c:v>
                </c:pt>
                <c:pt idx="178">
                  <c:v>19</c:v>
                </c:pt>
                <c:pt idx="179">
                  <c:v>18</c:v>
                </c:pt>
                <c:pt idx="180">
                  <c:v>17</c:v>
                </c:pt>
                <c:pt idx="181">
                  <c:v>16</c:v>
                </c:pt>
                <c:pt idx="182">
                  <c:v>14</c:v>
                </c:pt>
                <c:pt idx="183">
                  <c:v>14</c:v>
                </c:pt>
                <c:pt idx="184">
                  <c:v>13</c:v>
                </c:pt>
                <c:pt idx="185">
                  <c:v>13</c:v>
                </c:pt>
                <c:pt idx="186">
                  <c:v>13</c:v>
                </c:pt>
                <c:pt idx="187">
                  <c:v>13</c:v>
                </c:pt>
                <c:pt idx="188">
                  <c:v>14</c:v>
                </c:pt>
                <c:pt idx="189">
                  <c:v>14</c:v>
                </c:pt>
                <c:pt idx="190">
                  <c:v>14</c:v>
                </c:pt>
                <c:pt idx="191">
                  <c:v>14</c:v>
                </c:pt>
                <c:pt idx="192">
                  <c:v>16</c:v>
                </c:pt>
                <c:pt idx="193">
                  <c:v>17</c:v>
                </c:pt>
                <c:pt idx="194">
                  <c:v>18</c:v>
                </c:pt>
                <c:pt idx="195">
                  <c:v>18</c:v>
                </c:pt>
                <c:pt idx="196">
                  <c:v>11</c:v>
                </c:pt>
                <c:pt idx="197">
                  <c:v>10</c:v>
                </c:pt>
                <c:pt idx="198">
                  <c:v>8</c:v>
                </c:pt>
                <c:pt idx="199">
                  <c:v>6.5</c:v>
                </c:pt>
                <c:pt idx="200">
                  <c:v>6.5</c:v>
                </c:pt>
                <c:pt idx="201">
                  <c:v>6.5</c:v>
                </c:pt>
                <c:pt idx="202">
                  <c:v>13</c:v>
                </c:pt>
                <c:pt idx="203">
                  <c:v>16</c:v>
                </c:pt>
                <c:pt idx="204">
                  <c:v>13</c:v>
                </c:pt>
                <c:pt idx="205">
                  <c:v>45</c:v>
                </c:pt>
                <c:pt idx="206">
                  <c:v>112</c:v>
                </c:pt>
                <c:pt idx="207">
                  <c:v>71</c:v>
                </c:pt>
                <c:pt idx="208">
                  <c:v>72</c:v>
                </c:pt>
                <c:pt idx="209">
                  <c:v>135</c:v>
                </c:pt>
                <c:pt idx="210">
                  <c:v>95</c:v>
                </c:pt>
                <c:pt idx="211">
                  <c:v>67</c:v>
                </c:pt>
                <c:pt idx="212">
                  <c:v>52</c:v>
                </c:pt>
                <c:pt idx="213">
                  <c:v>45</c:v>
                </c:pt>
                <c:pt idx="214">
                  <c:v>43</c:v>
                </c:pt>
                <c:pt idx="215">
                  <c:v>53</c:v>
                </c:pt>
                <c:pt idx="216">
                  <c:v>81</c:v>
                </c:pt>
                <c:pt idx="217">
                  <c:v>98</c:v>
                </c:pt>
                <c:pt idx="218">
                  <c:v>79</c:v>
                </c:pt>
                <c:pt idx="219">
                  <c:v>80</c:v>
                </c:pt>
                <c:pt idx="220">
                  <c:v>82</c:v>
                </c:pt>
                <c:pt idx="221">
                  <c:v>73</c:v>
                </c:pt>
                <c:pt idx="222">
                  <c:v>67</c:v>
                </c:pt>
                <c:pt idx="223">
                  <c:v>65</c:v>
                </c:pt>
                <c:pt idx="224">
                  <c:v>57</c:v>
                </c:pt>
                <c:pt idx="225">
                  <c:v>54</c:v>
                </c:pt>
                <c:pt idx="226">
                  <c:v>54</c:v>
                </c:pt>
                <c:pt idx="227">
                  <c:v>61</c:v>
                </c:pt>
                <c:pt idx="228">
                  <c:v>66</c:v>
                </c:pt>
                <c:pt idx="229">
                  <c:v>76</c:v>
                </c:pt>
                <c:pt idx="230">
                  <c:v>84</c:v>
                </c:pt>
                <c:pt idx="231">
                  <c:v>72</c:v>
                </c:pt>
                <c:pt idx="232">
                  <c:v>67</c:v>
                </c:pt>
                <c:pt idx="233">
                  <c:v>69</c:v>
                </c:pt>
                <c:pt idx="234">
                  <c:v>66</c:v>
                </c:pt>
                <c:pt idx="235">
                  <c:v>57</c:v>
                </c:pt>
                <c:pt idx="236">
                  <c:v>80</c:v>
                </c:pt>
                <c:pt idx="237">
                  <c:v>82</c:v>
                </c:pt>
                <c:pt idx="238">
                  <c:v>116</c:v>
                </c:pt>
                <c:pt idx="239">
                  <c:v>112</c:v>
                </c:pt>
                <c:pt idx="240">
                  <c:v>97</c:v>
                </c:pt>
                <c:pt idx="241">
                  <c:v>84</c:v>
                </c:pt>
                <c:pt idx="242">
                  <c:v>98</c:v>
                </c:pt>
                <c:pt idx="243">
                  <c:v>95</c:v>
                </c:pt>
                <c:pt idx="244">
                  <c:v>90</c:v>
                </c:pt>
                <c:pt idx="245">
                  <c:v>96</c:v>
                </c:pt>
                <c:pt idx="246">
                  <c:v>101</c:v>
                </c:pt>
                <c:pt idx="247">
                  <c:v>92</c:v>
                </c:pt>
                <c:pt idx="248">
                  <c:v>85</c:v>
                </c:pt>
                <c:pt idx="249">
                  <c:v>80</c:v>
                </c:pt>
                <c:pt idx="250">
                  <c:v>70</c:v>
                </c:pt>
                <c:pt idx="251">
                  <c:v>51</c:v>
                </c:pt>
                <c:pt idx="252">
                  <c:v>39</c:v>
                </c:pt>
                <c:pt idx="253">
                  <c:v>45</c:v>
                </c:pt>
                <c:pt idx="254">
                  <c:v>58</c:v>
                </c:pt>
                <c:pt idx="255">
                  <c:v>50</c:v>
                </c:pt>
                <c:pt idx="256">
                  <c:v>41</c:v>
                </c:pt>
                <c:pt idx="257">
                  <c:v>58</c:v>
                </c:pt>
                <c:pt idx="258">
                  <c:v>72</c:v>
                </c:pt>
                <c:pt idx="259">
                  <c:v>65</c:v>
                </c:pt>
                <c:pt idx="260">
                  <c:v>67</c:v>
                </c:pt>
                <c:pt idx="261">
                  <c:v>72</c:v>
                </c:pt>
                <c:pt idx="262">
                  <c:v>74</c:v>
                </c:pt>
                <c:pt idx="263">
                  <c:v>77</c:v>
                </c:pt>
                <c:pt idx="264">
                  <c:v>78</c:v>
                </c:pt>
                <c:pt idx="265">
                  <c:v>86</c:v>
                </c:pt>
                <c:pt idx="266">
                  <c:v>88</c:v>
                </c:pt>
                <c:pt idx="267">
                  <c:v>86</c:v>
                </c:pt>
                <c:pt idx="268">
                  <c:v>81</c:v>
                </c:pt>
                <c:pt idx="269">
                  <c:v>74</c:v>
                </c:pt>
                <c:pt idx="270">
                  <c:v>64</c:v>
                </c:pt>
                <c:pt idx="271">
                  <c:v>61</c:v>
                </c:pt>
                <c:pt idx="272">
                  <c:v>54</c:v>
                </c:pt>
                <c:pt idx="273">
                  <c:v>54</c:v>
                </c:pt>
                <c:pt idx="274">
                  <c:v>54</c:v>
                </c:pt>
                <c:pt idx="275">
                  <c:v>54</c:v>
                </c:pt>
                <c:pt idx="276">
                  <c:v>55</c:v>
                </c:pt>
                <c:pt idx="277">
                  <c:v>69</c:v>
                </c:pt>
                <c:pt idx="278">
                  <c:v>90</c:v>
                </c:pt>
                <c:pt idx="279">
                  <c:v>117</c:v>
                </c:pt>
                <c:pt idx="280">
                  <c:v>93</c:v>
                </c:pt>
                <c:pt idx="281">
                  <c:v>91</c:v>
                </c:pt>
                <c:pt idx="282">
                  <c:v>100</c:v>
                </c:pt>
                <c:pt idx="283">
                  <c:v>95</c:v>
                </c:pt>
                <c:pt idx="284">
                  <c:v>110</c:v>
                </c:pt>
                <c:pt idx="285">
                  <c:v>137</c:v>
                </c:pt>
                <c:pt idx="286">
                  <c:v>130</c:v>
                </c:pt>
                <c:pt idx="287">
                  <c:v>152</c:v>
                </c:pt>
                <c:pt idx="288">
                  <c:v>170</c:v>
                </c:pt>
                <c:pt idx="289">
                  <c:v>169</c:v>
                </c:pt>
                <c:pt idx="290">
                  <c:v>171</c:v>
                </c:pt>
                <c:pt idx="291">
                  <c:v>171</c:v>
                </c:pt>
                <c:pt idx="292">
                  <c:v>171</c:v>
                </c:pt>
                <c:pt idx="293">
                  <c:v>182</c:v>
                </c:pt>
                <c:pt idx="294">
                  <c:v>185</c:v>
                </c:pt>
                <c:pt idx="295">
                  <c:v>174</c:v>
                </c:pt>
                <c:pt idx="296">
                  <c:v>174</c:v>
                </c:pt>
                <c:pt idx="297">
                  <c:v>171</c:v>
                </c:pt>
                <c:pt idx="298">
                  <c:v>182</c:v>
                </c:pt>
                <c:pt idx="299">
                  <c:v>188</c:v>
                </c:pt>
                <c:pt idx="300">
                  <c:v>182</c:v>
                </c:pt>
                <c:pt idx="301">
                  <c:v>193</c:v>
                </c:pt>
                <c:pt idx="302">
                  <c:v>240</c:v>
                </c:pt>
                <c:pt idx="303">
                  <c:v>233</c:v>
                </c:pt>
                <c:pt idx="304">
                  <c:v>220</c:v>
                </c:pt>
                <c:pt idx="305">
                  <c:v>213</c:v>
                </c:pt>
                <c:pt idx="306">
                  <c:v>223</c:v>
                </c:pt>
                <c:pt idx="307">
                  <c:v>216</c:v>
                </c:pt>
                <c:pt idx="308">
                  <c:v>220</c:v>
                </c:pt>
                <c:pt idx="309">
                  <c:v>223</c:v>
                </c:pt>
                <c:pt idx="310">
                  <c:v>237</c:v>
                </c:pt>
                <c:pt idx="311">
                  <c:v>223</c:v>
                </c:pt>
                <c:pt idx="312">
                  <c:v>179</c:v>
                </c:pt>
                <c:pt idx="313">
                  <c:v>185</c:v>
                </c:pt>
                <c:pt idx="314">
                  <c:v>223</c:v>
                </c:pt>
                <c:pt idx="315">
                  <c:v>237</c:v>
                </c:pt>
                <c:pt idx="316">
                  <c:v>213</c:v>
                </c:pt>
                <c:pt idx="317">
                  <c:v>220</c:v>
                </c:pt>
                <c:pt idx="318">
                  <c:v>237</c:v>
                </c:pt>
                <c:pt idx="319">
                  <c:v>233</c:v>
                </c:pt>
                <c:pt idx="320">
                  <c:v>227</c:v>
                </c:pt>
                <c:pt idx="321">
                  <c:v>237</c:v>
                </c:pt>
                <c:pt idx="322">
                  <c:v>254</c:v>
                </c:pt>
                <c:pt idx="323">
                  <c:v>237</c:v>
                </c:pt>
                <c:pt idx="324">
                  <c:v>212</c:v>
                </c:pt>
                <c:pt idx="325">
                  <c:v>244</c:v>
                </c:pt>
                <c:pt idx="326">
                  <c:v>250</c:v>
                </c:pt>
                <c:pt idx="327">
                  <c:v>243</c:v>
                </c:pt>
                <c:pt idx="328">
                  <c:v>252</c:v>
                </c:pt>
                <c:pt idx="329">
                  <c:v>250</c:v>
                </c:pt>
                <c:pt idx="330">
                  <c:v>234</c:v>
                </c:pt>
                <c:pt idx="331">
                  <c:v>250</c:v>
                </c:pt>
                <c:pt idx="332">
                  <c:v>228</c:v>
                </c:pt>
                <c:pt idx="333">
                  <c:v>237</c:v>
                </c:pt>
                <c:pt idx="334">
                  <c:v>237</c:v>
                </c:pt>
                <c:pt idx="335">
                  <c:v>243</c:v>
                </c:pt>
                <c:pt idx="336">
                  <c:v>251</c:v>
                </c:pt>
                <c:pt idx="337">
                  <c:v>253</c:v>
                </c:pt>
                <c:pt idx="338">
                  <c:v>243</c:v>
                </c:pt>
                <c:pt idx="339">
                  <c:v>203</c:v>
                </c:pt>
                <c:pt idx="340">
                  <c:v>256</c:v>
                </c:pt>
                <c:pt idx="341">
                  <c:v>228</c:v>
                </c:pt>
                <c:pt idx="342">
                  <c:v>237</c:v>
                </c:pt>
                <c:pt idx="343">
                  <c:v>257</c:v>
                </c:pt>
                <c:pt idx="344">
                  <c:v>223</c:v>
                </c:pt>
                <c:pt idx="345">
                  <c:v>240</c:v>
                </c:pt>
                <c:pt idx="346">
                  <c:v>217</c:v>
                </c:pt>
                <c:pt idx="347">
                  <c:v>237</c:v>
                </c:pt>
                <c:pt idx="348">
                  <c:v>239</c:v>
                </c:pt>
                <c:pt idx="349">
                  <c:v>236</c:v>
                </c:pt>
                <c:pt idx="350">
                  <c:v>209</c:v>
                </c:pt>
                <c:pt idx="351">
                  <c:v>248</c:v>
                </c:pt>
                <c:pt idx="352">
                  <c:v>258</c:v>
                </c:pt>
                <c:pt idx="353">
                  <c:v>254</c:v>
                </c:pt>
                <c:pt idx="354">
                  <c:v>254</c:v>
                </c:pt>
                <c:pt idx="355">
                  <c:v>254</c:v>
                </c:pt>
                <c:pt idx="356">
                  <c:v>262</c:v>
                </c:pt>
                <c:pt idx="357">
                  <c:v>274</c:v>
                </c:pt>
                <c:pt idx="358">
                  <c:v>265</c:v>
                </c:pt>
                <c:pt idx="359">
                  <c:v>272</c:v>
                </c:pt>
                <c:pt idx="360">
                  <c:v>284</c:v>
                </c:pt>
                <c:pt idx="361">
                  <c:v>286</c:v>
                </c:pt>
                <c:pt idx="362">
                  <c:v>284</c:v>
                </c:pt>
                <c:pt idx="363">
                  <c:v>252</c:v>
                </c:pt>
                <c:pt idx="364">
                  <c:v>252</c:v>
                </c:pt>
              </c:numCache>
            </c:numRef>
          </c:val>
          <c:smooth val="0"/>
        </c:ser>
        <c:dLbls>
          <c:showLegendKey val="0"/>
          <c:showVal val="0"/>
          <c:showCatName val="0"/>
          <c:showSerName val="0"/>
          <c:showPercent val="0"/>
          <c:showBubbleSize val="0"/>
        </c:dLbls>
        <c:marker val="1"/>
        <c:smooth val="0"/>
        <c:axId val="129614336"/>
        <c:axId val="147290880"/>
      </c:lineChart>
      <c:dateAx>
        <c:axId val="129614336"/>
        <c:scaling>
          <c:orientation val="minMax"/>
        </c:scaling>
        <c:delete val="0"/>
        <c:axPos val="b"/>
        <c:numFmt formatCode="m/d/yyyy" sourceLinked="1"/>
        <c:majorTickMark val="out"/>
        <c:minorTickMark val="none"/>
        <c:tickLblPos val="nextTo"/>
        <c:crossAx val="147290880"/>
        <c:crosses val="autoZero"/>
        <c:auto val="1"/>
        <c:lblOffset val="100"/>
        <c:baseTimeUnit val="days"/>
      </c:dateAx>
      <c:valAx>
        <c:axId val="147290880"/>
        <c:scaling>
          <c:orientation val="minMax"/>
        </c:scaling>
        <c:delete val="0"/>
        <c:axPos val="l"/>
        <c:majorGridlines/>
        <c:title>
          <c:tx>
            <c:rich>
              <a:bodyPr rot="-5400000" vert="horz"/>
              <a:lstStyle/>
              <a:p>
                <a:pPr>
                  <a:defRPr/>
                </a:pPr>
                <a:r>
                  <a:rPr lang="en-US"/>
                  <a:t>Streamflow [cfs]</a:t>
                </a:r>
              </a:p>
            </c:rich>
          </c:tx>
          <c:layout/>
          <c:overlay val="0"/>
        </c:title>
        <c:numFmt formatCode="General" sourceLinked="1"/>
        <c:majorTickMark val="out"/>
        <c:minorTickMark val="none"/>
        <c:tickLblPos val="nextTo"/>
        <c:crossAx val="1296143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0A6217-C724-45C7-A8EE-8D719E6CC366}">
  <ds:schemaRefs>
    <ds:schemaRef ds:uri="http://schemas.openxmlformats.org/officeDocument/2006/bibliography"/>
  </ds:schemaRefs>
</ds:datastoreItem>
</file>

<file path=customXml/itemProps2.xml><?xml version="1.0" encoding="utf-8"?>
<ds:datastoreItem xmlns:ds="http://schemas.openxmlformats.org/officeDocument/2006/customXml" ds:itemID="{11096EB6-E5C5-421C-BEDC-65BFB89194B9}"/>
</file>

<file path=customXml/itemProps3.xml><?xml version="1.0" encoding="utf-8"?>
<ds:datastoreItem xmlns:ds="http://schemas.openxmlformats.org/officeDocument/2006/customXml" ds:itemID="{8E015A97-E9F8-4DB2-9BE8-BC903208957D}"/>
</file>

<file path=customXml/itemProps4.xml><?xml version="1.0" encoding="utf-8"?>
<ds:datastoreItem xmlns:ds="http://schemas.openxmlformats.org/officeDocument/2006/customXml" ds:itemID="{A3A78C79-78D5-4879-B63A-805165FBAB2B}"/>
</file>

<file path=docProps/app.xml><?xml version="1.0" encoding="utf-8"?>
<Properties xmlns="http://schemas.openxmlformats.org/officeDocument/2006/extended-properties" xmlns:vt="http://schemas.openxmlformats.org/officeDocument/2006/docPropsVTypes">
  <Template>Memo Template 8.2016</Template>
  <TotalTime>4</TotalTime>
  <Pages>2</Pages>
  <Words>635</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Consultants for Land, Mineral and Water Development</vt:lpstr>
    </vt:vector>
  </TitlesOfParts>
  <Company>Microsoft</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Consultants for Land, Mineral and Water Development</dc:title>
  <dc:creator>Jared Dains</dc:creator>
  <cp:lastModifiedBy>Craig Ullmann</cp:lastModifiedBy>
  <cp:revision>4</cp:revision>
  <cp:lastPrinted>2015-07-08T17:55:00Z</cp:lastPrinted>
  <dcterms:created xsi:type="dcterms:W3CDTF">2017-04-21T19:44:00Z</dcterms:created>
  <dcterms:modified xsi:type="dcterms:W3CDTF">2017-04-25T17:36:00Z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312200</vt:r8>
  </property>
</Properties>
</file>